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3A9A8" w14:textId="77777777" w:rsidR="00A62308" w:rsidRDefault="00A62308" w:rsidP="00A2449A">
      <w:pPr>
        <w:spacing w:after="60" w:line="240" w:lineRule="auto"/>
        <w:outlineLvl w:val="1"/>
        <w:rPr>
          <w:rFonts w:eastAsia="Times New Roman" w:cstheme="minorHAnsi"/>
          <w:color w:val="2E2E2E"/>
          <w:sz w:val="28"/>
          <w:szCs w:val="28"/>
        </w:rPr>
      </w:pPr>
      <w:r w:rsidRPr="00A62308">
        <w:rPr>
          <w:rFonts w:eastAsia="Times New Roman" w:cstheme="minorHAnsi"/>
          <w:color w:val="2E2E2E"/>
          <w:sz w:val="28"/>
          <w:szCs w:val="28"/>
        </w:rPr>
        <w:t>Xavier University</w:t>
      </w:r>
    </w:p>
    <w:p w14:paraId="314F5B0D" w14:textId="54277122" w:rsidR="00A62308" w:rsidRDefault="00A62308" w:rsidP="00A2449A">
      <w:pPr>
        <w:spacing w:after="60" w:line="240" w:lineRule="auto"/>
        <w:outlineLvl w:val="1"/>
        <w:rPr>
          <w:rFonts w:eastAsia="Times New Roman" w:cstheme="minorHAnsi"/>
          <w:color w:val="2E2E2E"/>
          <w:sz w:val="28"/>
          <w:szCs w:val="28"/>
        </w:rPr>
      </w:pPr>
      <w:r w:rsidRPr="00A62308">
        <w:rPr>
          <w:rFonts w:eastAsia="Times New Roman" w:cstheme="minorHAnsi"/>
          <w:color w:val="2E2E2E"/>
          <w:sz w:val="28"/>
          <w:szCs w:val="28"/>
        </w:rPr>
        <w:t>July 1, 202</w:t>
      </w:r>
      <w:r>
        <w:rPr>
          <w:rFonts w:eastAsia="Times New Roman" w:cstheme="minorHAnsi"/>
          <w:color w:val="2E2E2E"/>
          <w:sz w:val="28"/>
          <w:szCs w:val="28"/>
        </w:rPr>
        <w:t>1</w:t>
      </w:r>
    </w:p>
    <w:p w14:paraId="506281DC" w14:textId="77777777" w:rsidR="00A62308" w:rsidRDefault="00A62308" w:rsidP="00A2449A">
      <w:pPr>
        <w:spacing w:after="60" w:line="240" w:lineRule="auto"/>
        <w:outlineLvl w:val="1"/>
        <w:rPr>
          <w:rFonts w:eastAsia="Times New Roman" w:cstheme="minorHAnsi"/>
          <w:color w:val="2E2E2E"/>
          <w:sz w:val="28"/>
          <w:szCs w:val="28"/>
        </w:rPr>
      </w:pPr>
      <w:r w:rsidRPr="00A62308">
        <w:rPr>
          <w:rFonts w:eastAsia="Times New Roman" w:cstheme="minorHAnsi"/>
          <w:color w:val="2E2E2E"/>
          <w:sz w:val="28"/>
          <w:szCs w:val="28"/>
        </w:rPr>
        <w:t>Professional Licensure Disclosure Statement</w:t>
      </w:r>
    </w:p>
    <w:p w14:paraId="5EED4F0D" w14:textId="77777777" w:rsidR="00A62308" w:rsidRDefault="00A62308" w:rsidP="00A2449A">
      <w:pPr>
        <w:spacing w:after="60" w:line="240" w:lineRule="auto"/>
        <w:outlineLvl w:val="1"/>
        <w:rPr>
          <w:rFonts w:eastAsia="Times New Roman" w:cstheme="minorHAnsi"/>
          <w:color w:val="2E2E2E"/>
          <w:sz w:val="28"/>
          <w:szCs w:val="28"/>
        </w:rPr>
      </w:pPr>
      <w:r w:rsidRPr="00A62308">
        <w:rPr>
          <w:rFonts w:eastAsia="Times New Roman" w:cstheme="minorHAnsi"/>
          <w:color w:val="2E2E2E"/>
          <w:sz w:val="28"/>
          <w:szCs w:val="28"/>
        </w:rPr>
        <w:t>Accounting (BSBA, MS in Accountancy)</w:t>
      </w:r>
    </w:p>
    <w:p w14:paraId="513F28A7" w14:textId="77777777" w:rsidR="00A62308" w:rsidRDefault="00A62308" w:rsidP="00A2449A">
      <w:pPr>
        <w:spacing w:after="60" w:line="240" w:lineRule="auto"/>
        <w:outlineLvl w:val="1"/>
        <w:rPr>
          <w:rFonts w:eastAsia="Times New Roman" w:cstheme="minorHAnsi"/>
          <w:color w:val="2E2E2E"/>
          <w:sz w:val="28"/>
          <w:szCs w:val="28"/>
        </w:rPr>
      </w:pPr>
    </w:p>
    <w:p w14:paraId="5B048C1A" w14:textId="0213BB88" w:rsidR="00A62308" w:rsidRPr="00F9768C" w:rsidRDefault="00A62308" w:rsidP="00A2449A">
      <w:pPr>
        <w:spacing w:after="60" w:line="240" w:lineRule="auto"/>
        <w:outlineLvl w:val="1"/>
        <w:rPr>
          <w:rFonts w:eastAsia="Times New Roman" w:cstheme="minorHAnsi"/>
          <w:color w:val="2E2E2E"/>
          <w:sz w:val="24"/>
          <w:szCs w:val="24"/>
        </w:rPr>
      </w:pPr>
      <w:r w:rsidRPr="00F9768C">
        <w:rPr>
          <w:rFonts w:eastAsia="Times New Roman" w:cstheme="minorHAnsi"/>
          <w:color w:val="2E2E2E"/>
          <w:sz w:val="24"/>
          <w:szCs w:val="24"/>
        </w:rPr>
        <w:t xml:space="preserve">If your state is not listed, Xavier University has not made a determination at this time. Please contact program director </w:t>
      </w:r>
      <w:r w:rsidR="00F9768C" w:rsidRPr="00F9768C">
        <w:rPr>
          <w:rFonts w:eastAsia="Times New Roman" w:cstheme="minorHAnsi"/>
          <w:color w:val="2E2E2E"/>
          <w:sz w:val="24"/>
          <w:szCs w:val="24"/>
        </w:rPr>
        <w:t>Dr. Christian Mastilak at mastilakc@xavier.edu or 513-745-3290</w:t>
      </w:r>
      <w:r w:rsidR="00F9768C">
        <w:rPr>
          <w:rFonts w:eastAsia="Times New Roman" w:cstheme="minorHAnsi"/>
          <w:color w:val="2E2E2E"/>
          <w:sz w:val="24"/>
          <w:szCs w:val="24"/>
        </w:rPr>
        <w:t xml:space="preserve"> </w:t>
      </w:r>
      <w:r w:rsidRPr="00F9768C">
        <w:rPr>
          <w:rFonts w:eastAsia="Times New Roman" w:cstheme="minorHAnsi"/>
          <w:color w:val="2E2E2E"/>
          <w:sz w:val="24"/>
          <w:szCs w:val="24"/>
        </w:rPr>
        <w:t>for further information.</w:t>
      </w:r>
    </w:p>
    <w:p w14:paraId="39B38CEF" w14:textId="77777777" w:rsidR="00A62308" w:rsidRPr="00F9768C" w:rsidRDefault="00A62308" w:rsidP="00A2449A">
      <w:pPr>
        <w:spacing w:after="60" w:line="240" w:lineRule="auto"/>
        <w:outlineLvl w:val="1"/>
        <w:rPr>
          <w:rFonts w:eastAsia="Times New Roman" w:cstheme="minorHAnsi"/>
          <w:color w:val="2E2E2E"/>
          <w:sz w:val="24"/>
          <w:szCs w:val="24"/>
        </w:rPr>
      </w:pPr>
    </w:p>
    <w:p w14:paraId="26AE3ABB" w14:textId="2915859C" w:rsidR="00A2449A" w:rsidRDefault="00A2449A" w:rsidP="00A2449A">
      <w:pPr>
        <w:spacing w:after="60" w:line="240" w:lineRule="auto"/>
        <w:outlineLvl w:val="1"/>
        <w:rPr>
          <w:rFonts w:eastAsia="Times New Roman" w:cstheme="minorHAnsi"/>
          <w:color w:val="2E2E2E"/>
          <w:sz w:val="28"/>
          <w:szCs w:val="28"/>
        </w:rPr>
      </w:pPr>
      <w:r>
        <w:rPr>
          <w:rFonts w:eastAsia="Times New Roman" w:cstheme="minorHAnsi"/>
          <w:color w:val="2E2E2E"/>
          <w:sz w:val="28"/>
          <w:szCs w:val="28"/>
        </w:rPr>
        <w:t>Accounting (BSBA, M</w:t>
      </w:r>
      <w:r w:rsidR="005C018E">
        <w:rPr>
          <w:rFonts w:eastAsia="Times New Roman" w:cstheme="minorHAnsi"/>
          <w:color w:val="2E2E2E"/>
          <w:sz w:val="28"/>
          <w:szCs w:val="28"/>
        </w:rPr>
        <w:t>S in Accountancy</w:t>
      </w:r>
      <w:r>
        <w:rPr>
          <w:rFonts w:eastAsia="Times New Roman" w:cstheme="minorHAnsi"/>
          <w:color w:val="2E2E2E"/>
          <w:sz w:val="28"/>
          <w:szCs w:val="28"/>
        </w:rPr>
        <w:t>)</w:t>
      </w:r>
    </w:p>
    <w:p w14:paraId="628021A6" w14:textId="25B5D074" w:rsid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The Williams College of Business at Xavier University is accredited by the Association to Advance Collegiate Schools of Business (AACSB). The BSBA in Accounting and the MS in Accountancy are accredited under the College’s accreditation status. The Department of Accounting is not separately accredited.</w:t>
      </w:r>
    </w:p>
    <w:p w14:paraId="4B0ABE1E" w14:textId="77777777" w:rsidR="00296F48" w:rsidRPr="00296F48" w:rsidRDefault="00296F48" w:rsidP="00296F48">
      <w:pPr>
        <w:spacing w:after="60" w:line="240" w:lineRule="auto"/>
        <w:outlineLvl w:val="1"/>
        <w:rPr>
          <w:rFonts w:eastAsia="Times New Roman" w:cstheme="minorHAnsi"/>
          <w:color w:val="2E2E2E"/>
          <w:sz w:val="24"/>
          <w:szCs w:val="28"/>
        </w:rPr>
      </w:pPr>
    </w:p>
    <w:p w14:paraId="6897BF3C" w14:textId="51050742" w:rsid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 xml:space="preserve">Requirements for the Certified Public Accountant (CPA) license vary by state and involve more than successful degree completion. Candidates for licensure need to satisfy other requirements, including but not limited to completing an application, paying a fee, passing licensure exams, and work experience. </w:t>
      </w:r>
    </w:p>
    <w:p w14:paraId="48F44718" w14:textId="77777777" w:rsidR="00296F48" w:rsidRPr="00296F48" w:rsidRDefault="00296F48" w:rsidP="00296F48">
      <w:pPr>
        <w:spacing w:after="60" w:line="240" w:lineRule="auto"/>
        <w:outlineLvl w:val="1"/>
        <w:rPr>
          <w:rFonts w:eastAsia="Times New Roman" w:cstheme="minorHAnsi"/>
          <w:color w:val="2E2E2E"/>
          <w:sz w:val="24"/>
          <w:szCs w:val="28"/>
        </w:rPr>
      </w:pPr>
    </w:p>
    <w:p w14:paraId="20904A26" w14:textId="22C252A8" w:rsidR="00296F48" w:rsidRP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As of July 1, 202</w:t>
      </w:r>
      <w:r w:rsidR="00A62308">
        <w:rPr>
          <w:rFonts w:eastAsia="Times New Roman" w:cstheme="minorHAnsi"/>
          <w:color w:val="2E2E2E"/>
          <w:sz w:val="24"/>
          <w:szCs w:val="28"/>
        </w:rPr>
        <w:t>1</w:t>
      </w:r>
      <w:r w:rsidRPr="00296F48">
        <w:rPr>
          <w:rFonts w:eastAsia="Times New Roman" w:cstheme="minorHAnsi"/>
          <w:color w:val="2E2E2E"/>
          <w:sz w:val="24"/>
          <w:szCs w:val="28"/>
        </w:rPr>
        <w:t>, Xavier University has made the following determinations:</w:t>
      </w:r>
    </w:p>
    <w:p w14:paraId="5A79561D" w14:textId="13E9B8BF" w:rsid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 xml:space="preserve">The BSBA in Accounting by itself does not meet all the educational requirements for any states, because all states require 150 </w:t>
      </w:r>
      <w:r w:rsidR="00604571">
        <w:rPr>
          <w:rFonts w:eastAsia="Times New Roman" w:cstheme="minorHAnsi"/>
          <w:color w:val="2E2E2E"/>
          <w:sz w:val="24"/>
          <w:szCs w:val="28"/>
        </w:rPr>
        <w:t xml:space="preserve">total </w:t>
      </w:r>
      <w:r w:rsidRPr="00296F48">
        <w:rPr>
          <w:rFonts w:eastAsia="Times New Roman" w:cstheme="minorHAnsi"/>
          <w:color w:val="2E2E2E"/>
          <w:sz w:val="24"/>
          <w:szCs w:val="28"/>
        </w:rPr>
        <w:t xml:space="preserve">credit hours. </w:t>
      </w:r>
    </w:p>
    <w:p w14:paraId="08613655" w14:textId="77777777" w:rsidR="00A62308" w:rsidRPr="00296F48" w:rsidRDefault="00A62308" w:rsidP="00296F48">
      <w:pPr>
        <w:spacing w:after="60" w:line="240" w:lineRule="auto"/>
        <w:outlineLvl w:val="1"/>
        <w:rPr>
          <w:rFonts w:eastAsia="Times New Roman" w:cstheme="minorHAnsi"/>
          <w:color w:val="2E2E2E"/>
          <w:sz w:val="24"/>
          <w:szCs w:val="28"/>
        </w:rPr>
      </w:pPr>
    </w:p>
    <w:p w14:paraId="7BE98D38" w14:textId="77777777" w:rsidR="00296F48" w:rsidRP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 xml:space="preserve">Ohio: Candidates for CPA licensure in </w:t>
      </w:r>
      <w:r w:rsidRPr="00604571">
        <w:rPr>
          <w:rFonts w:eastAsia="Times New Roman" w:cstheme="minorHAnsi"/>
          <w:b/>
          <w:bCs/>
          <w:color w:val="2E2E2E"/>
          <w:sz w:val="24"/>
          <w:szCs w:val="28"/>
        </w:rPr>
        <w:t>Ohio</w:t>
      </w:r>
      <w:r w:rsidRPr="00296F48">
        <w:rPr>
          <w:rFonts w:eastAsia="Times New Roman" w:cstheme="minorHAnsi"/>
          <w:color w:val="2E2E2E"/>
          <w:sz w:val="24"/>
          <w:szCs w:val="28"/>
        </w:rPr>
        <w:t xml:space="preserve"> must meet, among other things, certain educational requirements. Those educational requirements include (a) 150 total college credit hours, (b) 30 credit hours of accounting courses, and (c) 24 credit hours of non-accounting business courses. </w:t>
      </w:r>
    </w:p>
    <w:p w14:paraId="5ABCA6AA" w14:textId="77777777" w:rsidR="00A62308" w:rsidRDefault="00A62308" w:rsidP="00296F48">
      <w:pPr>
        <w:spacing w:after="60" w:line="240" w:lineRule="auto"/>
        <w:outlineLvl w:val="1"/>
        <w:rPr>
          <w:rFonts w:eastAsia="Times New Roman" w:cstheme="minorHAnsi"/>
          <w:color w:val="2E2E2E"/>
          <w:sz w:val="24"/>
          <w:szCs w:val="28"/>
        </w:rPr>
      </w:pPr>
    </w:p>
    <w:p w14:paraId="49DB92C2" w14:textId="5884566D" w:rsidR="00296F48" w:rsidRP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 xml:space="preserve">The BSBA in Accounting provides at least 120 total credit hours, 30 credit hours of accounting courses and 24 credit hours of non-accounting business courses. The BSBA in Accounting </w:t>
      </w:r>
      <w:r w:rsidR="00D354F9">
        <w:rPr>
          <w:rFonts w:eastAsia="Times New Roman" w:cstheme="minorHAnsi"/>
          <w:color w:val="2E2E2E"/>
          <w:sz w:val="24"/>
          <w:szCs w:val="28"/>
        </w:rPr>
        <w:t xml:space="preserve">thus </w:t>
      </w:r>
      <w:r w:rsidRPr="00296F48">
        <w:rPr>
          <w:rFonts w:eastAsia="Times New Roman" w:cstheme="minorHAnsi"/>
          <w:color w:val="2E2E2E"/>
          <w:sz w:val="24"/>
          <w:szCs w:val="28"/>
        </w:rPr>
        <w:t xml:space="preserve">meets requirements (b) and (c) for Ohio. </w:t>
      </w:r>
      <w:r w:rsidR="00D354F9" w:rsidRPr="00296F48">
        <w:rPr>
          <w:rFonts w:eastAsia="Times New Roman" w:cstheme="minorHAnsi"/>
          <w:color w:val="2E2E2E"/>
          <w:sz w:val="24"/>
          <w:szCs w:val="28"/>
        </w:rPr>
        <w:t>Candidates would need to earn up to 30 additional credit hours to satisfy requirement (a).</w:t>
      </w:r>
    </w:p>
    <w:p w14:paraId="0827EF95" w14:textId="77777777" w:rsidR="00A62308" w:rsidRDefault="00A62308" w:rsidP="00296F48">
      <w:pPr>
        <w:spacing w:after="60" w:line="240" w:lineRule="auto"/>
        <w:outlineLvl w:val="1"/>
        <w:rPr>
          <w:rFonts w:eastAsia="Times New Roman" w:cstheme="minorHAnsi"/>
          <w:color w:val="2E2E2E"/>
          <w:sz w:val="24"/>
          <w:szCs w:val="28"/>
        </w:rPr>
      </w:pPr>
    </w:p>
    <w:p w14:paraId="0799E83C" w14:textId="67F48BDB" w:rsidR="00296F48" w:rsidRP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Combined with a bachelor’s degree providing at least 120 credit hours, the MS in Accountancy meets all the educational requirements for Ohio.</w:t>
      </w:r>
    </w:p>
    <w:p w14:paraId="605B9F75" w14:textId="77777777" w:rsidR="00A62308" w:rsidRDefault="00A62308" w:rsidP="00296F48">
      <w:pPr>
        <w:spacing w:after="60" w:line="240" w:lineRule="auto"/>
        <w:outlineLvl w:val="1"/>
        <w:rPr>
          <w:rFonts w:eastAsia="Times New Roman" w:cstheme="minorHAnsi"/>
          <w:b/>
          <w:bCs/>
          <w:color w:val="2E2E2E"/>
          <w:sz w:val="24"/>
          <w:szCs w:val="28"/>
        </w:rPr>
      </w:pPr>
    </w:p>
    <w:p w14:paraId="366EEB69" w14:textId="42773390" w:rsidR="00296F48" w:rsidRPr="00296F48" w:rsidRDefault="00296F48" w:rsidP="00296F48">
      <w:pPr>
        <w:spacing w:after="60" w:line="240" w:lineRule="auto"/>
        <w:outlineLvl w:val="1"/>
        <w:rPr>
          <w:rFonts w:eastAsia="Times New Roman" w:cstheme="minorHAnsi"/>
          <w:color w:val="2E2E2E"/>
          <w:sz w:val="24"/>
          <w:szCs w:val="28"/>
        </w:rPr>
      </w:pPr>
      <w:r w:rsidRPr="00604571">
        <w:rPr>
          <w:rFonts w:eastAsia="Times New Roman" w:cstheme="minorHAnsi"/>
          <w:b/>
          <w:bCs/>
          <w:color w:val="2E2E2E"/>
          <w:sz w:val="24"/>
          <w:szCs w:val="28"/>
        </w:rPr>
        <w:t>Other states</w:t>
      </w:r>
      <w:r w:rsidRPr="00296F48">
        <w:rPr>
          <w:rFonts w:eastAsia="Times New Roman" w:cstheme="minorHAnsi"/>
          <w:color w:val="2E2E2E"/>
          <w:sz w:val="24"/>
          <w:szCs w:val="28"/>
        </w:rPr>
        <w:t>: As of July 1, 20</w:t>
      </w:r>
      <w:r w:rsidR="00A62308">
        <w:rPr>
          <w:rFonts w:eastAsia="Times New Roman" w:cstheme="minorHAnsi"/>
          <w:color w:val="2E2E2E"/>
          <w:sz w:val="24"/>
          <w:szCs w:val="28"/>
        </w:rPr>
        <w:t>21</w:t>
      </w:r>
      <w:r w:rsidRPr="00296F48">
        <w:rPr>
          <w:rFonts w:eastAsia="Times New Roman" w:cstheme="minorHAnsi"/>
          <w:color w:val="2E2E2E"/>
          <w:sz w:val="24"/>
          <w:szCs w:val="28"/>
        </w:rPr>
        <w:t xml:space="preserve">, Xavier University has determined that the combination of (1) a </w:t>
      </w:r>
      <w:bookmarkStart w:id="0" w:name="_GoBack"/>
      <w:bookmarkEnd w:id="0"/>
      <w:r w:rsidRPr="00296F48">
        <w:rPr>
          <w:rFonts w:eastAsia="Times New Roman" w:cstheme="minorHAnsi"/>
          <w:color w:val="2E2E2E"/>
          <w:sz w:val="24"/>
          <w:szCs w:val="28"/>
        </w:rPr>
        <w:t xml:space="preserve">bachelor’s degree providing at least 120 credit hours and (2) </w:t>
      </w:r>
      <w:r w:rsidR="00A62308" w:rsidRPr="00A62308">
        <w:rPr>
          <w:rFonts w:eastAsia="Times New Roman" w:cstheme="minorHAnsi"/>
          <w:color w:val="2E2E2E"/>
          <w:sz w:val="24"/>
          <w:szCs w:val="28"/>
        </w:rPr>
        <w:t xml:space="preserve">a Xavier University </w:t>
      </w:r>
      <w:r w:rsidRPr="00296F48">
        <w:rPr>
          <w:rFonts w:eastAsia="Times New Roman" w:cstheme="minorHAnsi"/>
          <w:color w:val="2E2E2E"/>
          <w:sz w:val="24"/>
          <w:szCs w:val="28"/>
        </w:rPr>
        <w:t xml:space="preserve">MS in </w:t>
      </w:r>
      <w:r w:rsidRPr="00296F48">
        <w:rPr>
          <w:rFonts w:eastAsia="Times New Roman" w:cstheme="minorHAnsi"/>
          <w:color w:val="2E2E2E"/>
          <w:sz w:val="24"/>
          <w:szCs w:val="28"/>
        </w:rPr>
        <w:lastRenderedPageBreak/>
        <w:t xml:space="preserve">Accountancy </w:t>
      </w:r>
      <w:r w:rsidR="00A62308">
        <w:rPr>
          <w:rFonts w:eastAsia="Times New Roman" w:cstheme="minorHAnsi"/>
          <w:color w:val="2E2E2E"/>
          <w:sz w:val="24"/>
          <w:szCs w:val="28"/>
        </w:rPr>
        <w:t xml:space="preserve">degree </w:t>
      </w:r>
      <w:r w:rsidRPr="00296F48">
        <w:rPr>
          <w:rFonts w:eastAsia="Times New Roman" w:cstheme="minorHAnsi"/>
          <w:color w:val="2E2E2E"/>
          <w:sz w:val="24"/>
          <w:szCs w:val="28"/>
        </w:rPr>
        <w:t xml:space="preserve">meets the educational requirements of the following states: </w:t>
      </w:r>
      <w:r w:rsidRPr="00604571">
        <w:rPr>
          <w:rFonts w:eastAsia="Times New Roman" w:cstheme="minorHAnsi"/>
          <w:b/>
          <w:bCs/>
          <w:color w:val="2E2E2E"/>
          <w:sz w:val="24"/>
          <w:szCs w:val="28"/>
        </w:rPr>
        <w:t xml:space="preserve">Illinois, Indiana, Kentucky, </w:t>
      </w:r>
      <w:r w:rsidR="00AC7A66" w:rsidRPr="00604571">
        <w:rPr>
          <w:rFonts w:eastAsia="Times New Roman" w:cstheme="minorHAnsi"/>
          <w:b/>
          <w:bCs/>
          <w:color w:val="2E2E2E"/>
          <w:sz w:val="24"/>
          <w:szCs w:val="28"/>
        </w:rPr>
        <w:t xml:space="preserve">Massachusetts, </w:t>
      </w:r>
      <w:r w:rsidRPr="00604571">
        <w:rPr>
          <w:rFonts w:eastAsia="Times New Roman" w:cstheme="minorHAnsi"/>
          <w:b/>
          <w:bCs/>
          <w:color w:val="2E2E2E"/>
          <w:sz w:val="24"/>
          <w:szCs w:val="28"/>
        </w:rPr>
        <w:t xml:space="preserve">Michigan, </w:t>
      </w:r>
      <w:r w:rsidR="00AC7A66" w:rsidRPr="00604571">
        <w:rPr>
          <w:rFonts w:eastAsia="Times New Roman" w:cstheme="minorHAnsi"/>
          <w:b/>
          <w:bCs/>
          <w:color w:val="2E2E2E"/>
          <w:sz w:val="24"/>
          <w:szCs w:val="28"/>
        </w:rPr>
        <w:t xml:space="preserve">Missouri, </w:t>
      </w:r>
      <w:r w:rsidRPr="00604571">
        <w:rPr>
          <w:rFonts w:eastAsia="Times New Roman" w:cstheme="minorHAnsi"/>
          <w:b/>
          <w:bCs/>
          <w:color w:val="2E2E2E"/>
          <w:sz w:val="24"/>
          <w:szCs w:val="28"/>
        </w:rPr>
        <w:t>New York</w:t>
      </w:r>
      <w:r w:rsidR="00943C93">
        <w:rPr>
          <w:rFonts w:eastAsia="Times New Roman" w:cstheme="minorHAnsi"/>
          <w:b/>
          <w:bCs/>
          <w:color w:val="2E2E2E"/>
          <w:sz w:val="24"/>
          <w:szCs w:val="28"/>
        </w:rPr>
        <w:t>*</w:t>
      </w:r>
      <w:r w:rsidRPr="00604571">
        <w:rPr>
          <w:rFonts w:eastAsia="Times New Roman" w:cstheme="minorHAnsi"/>
          <w:b/>
          <w:bCs/>
          <w:color w:val="2E2E2E"/>
          <w:sz w:val="24"/>
          <w:szCs w:val="28"/>
        </w:rPr>
        <w:t>, Pennsylvania, and West Virginia</w:t>
      </w:r>
      <w:r w:rsidRPr="00296F48">
        <w:rPr>
          <w:rFonts w:eastAsia="Times New Roman" w:cstheme="minorHAnsi"/>
          <w:color w:val="2E2E2E"/>
          <w:sz w:val="24"/>
          <w:szCs w:val="28"/>
        </w:rPr>
        <w:t>.</w:t>
      </w:r>
    </w:p>
    <w:p w14:paraId="68B14838" w14:textId="73CDFE6A" w:rsidR="00A62308" w:rsidRDefault="00A62308" w:rsidP="00296F48">
      <w:pPr>
        <w:spacing w:after="60" w:line="240" w:lineRule="auto"/>
        <w:outlineLvl w:val="1"/>
        <w:rPr>
          <w:rFonts w:eastAsia="Times New Roman" w:cstheme="minorHAnsi"/>
          <w:color w:val="2E2E2E"/>
          <w:sz w:val="24"/>
          <w:szCs w:val="28"/>
        </w:rPr>
      </w:pPr>
    </w:p>
    <w:p w14:paraId="40A62E08" w14:textId="323C594F" w:rsidR="00943C93" w:rsidRDefault="00943C93" w:rsidP="00296F48">
      <w:pPr>
        <w:spacing w:after="60" w:line="240" w:lineRule="auto"/>
        <w:outlineLvl w:val="1"/>
        <w:rPr>
          <w:rFonts w:eastAsia="Times New Roman" w:cstheme="minorHAnsi"/>
          <w:color w:val="2E2E2E"/>
          <w:sz w:val="24"/>
          <w:szCs w:val="28"/>
        </w:rPr>
      </w:pPr>
      <w:r>
        <w:rPr>
          <w:rFonts w:eastAsia="Times New Roman" w:cstheme="minorHAnsi"/>
          <w:color w:val="2E2E2E"/>
          <w:sz w:val="24"/>
          <w:szCs w:val="28"/>
        </w:rPr>
        <w:t>*New York requires 33 credit</w:t>
      </w:r>
      <w:r w:rsidR="007D61B3">
        <w:rPr>
          <w:rFonts w:eastAsia="Times New Roman" w:cstheme="minorHAnsi"/>
          <w:color w:val="2E2E2E"/>
          <w:sz w:val="24"/>
          <w:szCs w:val="28"/>
        </w:rPr>
        <w:t xml:space="preserve"> hours of accounting</w:t>
      </w:r>
      <w:r w:rsidR="00D354F9">
        <w:rPr>
          <w:rFonts w:eastAsia="Times New Roman" w:cstheme="minorHAnsi"/>
          <w:color w:val="2E2E2E"/>
          <w:sz w:val="24"/>
          <w:szCs w:val="28"/>
        </w:rPr>
        <w:t xml:space="preserve">, </w:t>
      </w:r>
      <w:r w:rsidR="007D61B3">
        <w:rPr>
          <w:rFonts w:eastAsia="Times New Roman" w:cstheme="minorHAnsi"/>
          <w:color w:val="2E2E2E"/>
          <w:sz w:val="24"/>
          <w:szCs w:val="28"/>
        </w:rPr>
        <w:t>36 credit hours of general business electives</w:t>
      </w:r>
      <w:r w:rsidR="00D354F9">
        <w:rPr>
          <w:rFonts w:eastAsia="Times New Roman" w:cstheme="minorHAnsi"/>
          <w:color w:val="2E2E2E"/>
          <w:sz w:val="24"/>
          <w:szCs w:val="28"/>
        </w:rPr>
        <w:t>, and 3 credit hours of ethics</w:t>
      </w:r>
      <w:r w:rsidR="007D61B3">
        <w:rPr>
          <w:rFonts w:eastAsia="Times New Roman" w:cstheme="minorHAnsi"/>
          <w:color w:val="2E2E2E"/>
          <w:sz w:val="24"/>
          <w:szCs w:val="28"/>
        </w:rPr>
        <w:t>; see the MS in Accountancy program director to ensure you meet these requirements.</w:t>
      </w:r>
    </w:p>
    <w:p w14:paraId="47AFFFC0" w14:textId="77777777" w:rsidR="00943C93" w:rsidRDefault="00943C93" w:rsidP="00296F48">
      <w:pPr>
        <w:spacing w:after="60" w:line="240" w:lineRule="auto"/>
        <w:outlineLvl w:val="1"/>
        <w:rPr>
          <w:rFonts w:eastAsia="Times New Roman" w:cstheme="minorHAnsi"/>
          <w:color w:val="2E2E2E"/>
          <w:sz w:val="24"/>
          <w:szCs w:val="28"/>
        </w:rPr>
      </w:pPr>
    </w:p>
    <w:p w14:paraId="5849FC07" w14:textId="67982DF1" w:rsidR="00296F48" w:rsidRPr="00296F48" w:rsidRDefault="00296F48" w:rsidP="00296F48">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As of July 1, 202</w:t>
      </w:r>
      <w:r w:rsidR="00A62308">
        <w:rPr>
          <w:rFonts w:eastAsia="Times New Roman" w:cstheme="minorHAnsi"/>
          <w:color w:val="2E2E2E"/>
          <w:sz w:val="24"/>
          <w:szCs w:val="28"/>
        </w:rPr>
        <w:t>1</w:t>
      </w:r>
      <w:r w:rsidRPr="00296F48">
        <w:rPr>
          <w:rFonts w:eastAsia="Times New Roman" w:cstheme="minorHAnsi"/>
          <w:color w:val="2E2E2E"/>
          <w:sz w:val="24"/>
          <w:szCs w:val="28"/>
        </w:rPr>
        <w:t>, Xavier University has not made a determination regarding whether the MS in Accountancy meets the educational requirements for any other states.</w:t>
      </w:r>
    </w:p>
    <w:p w14:paraId="6AAE78D3" w14:textId="77777777" w:rsidR="00A62308" w:rsidRDefault="00A62308" w:rsidP="00A2449A">
      <w:pPr>
        <w:spacing w:after="60" w:line="240" w:lineRule="auto"/>
        <w:outlineLvl w:val="1"/>
        <w:rPr>
          <w:rFonts w:eastAsia="Times New Roman" w:cstheme="minorHAnsi"/>
          <w:color w:val="2E2E2E"/>
          <w:sz w:val="24"/>
          <w:szCs w:val="28"/>
        </w:rPr>
      </w:pPr>
    </w:p>
    <w:p w14:paraId="050FD813" w14:textId="742C831A" w:rsidR="00A2449A" w:rsidRDefault="00296F48" w:rsidP="00A2449A">
      <w:pPr>
        <w:spacing w:after="60" w:line="240" w:lineRule="auto"/>
        <w:outlineLvl w:val="1"/>
        <w:rPr>
          <w:rFonts w:eastAsia="Times New Roman" w:cstheme="minorHAnsi"/>
          <w:color w:val="2E2E2E"/>
          <w:sz w:val="24"/>
          <w:szCs w:val="28"/>
        </w:rPr>
      </w:pPr>
      <w:r w:rsidRPr="00296F48">
        <w:rPr>
          <w:rFonts w:eastAsia="Times New Roman" w:cstheme="minorHAnsi"/>
          <w:color w:val="2E2E2E"/>
          <w:sz w:val="24"/>
          <w:szCs w:val="28"/>
        </w:rPr>
        <w:t xml:space="preserve">More information about various states’ requirements can be found at </w:t>
      </w:r>
      <w:hyperlink r:id="rId7" w:history="1">
        <w:r w:rsidRPr="00296F48">
          <w:rPr>
            <w:rStyle w:val="Hyperlink"/>
            <w:rFonts w:eastAsia="Times New Roman" w:cstheme="minorHAnsi"/>
            <w:sz w:val="24"/>
            <w:szCs w:val="28"/>
          </w:rPr>
          <w:t>www.nasba.org</w:t>
        </w:r>
      </w:hyperlink>
      <w:r w:rsidRPr="00296F48">
        <w:rPr>
          <w:rFonts w:eastAsia="Times New Roman" w:cstheme="minorHAnsi"/>
          <w:color w:val="2E2E2E"/>
          <w:sz w:val="24"/>
          <w:szCs w:val="28"/>
        </w:rPr>
        <w:t xml:space="preserve"> or by contacting the appropriate states’ boards of accountancy. </w:t>
      </w:r>
    </w:p>
    <w:p w14:paraId="30ADE0CA" w14:textId="77777777" w:rsidR="00A62308" w:rsidRDefault="00A62308" w:rsidP="00656537">
      <w:pPr>
        <w:spacing w:after="60" w:line="240" w:lineRule="auto"/>
        <w:outlineLvl w:val="1"/>
        <w:rPr>
          <w:rFonts w:eastAsia="Times New Roman" w:cstheme="minorHAnsi"/>
          <w:b/>
          <w:bCs/>
          <w:color w:val="2E2E2E"/>
          <w:sz w:val="24"/>
          <w:szCs w:val="28"/>
        </w:rPr>
      </w:pPr>
    </w:p>
    <w:p w14:paraId="1046DBF1" w14:textId="77777777" w:rsidR="00F9768C" w:rsidRDefault="00604571" w:rsidP="00656537">
      <w:pPr>
        <w:spacing w:after="60" w:line="240" w:lineRule="auto"/>
        <w:outlineLvl w:val="1"/>
        <w:rPr>
          <w:rFonts w:eastAsia="Times New Roman" w:cstheme="minorHAnsi"/>
          <w:color w:val="2E2E2E"/>
          <w:sz w:val="24"/>
          <w:szCs w:val="28"/>
        </w:rPr>
      </w:pPr>
      <w:r w:rsidRPr="00604571">
        <w:rPr>
          <w:rFonts w:eastAsia="Times New Roman" w:cstheme="minorHAnsi"/>
          <w:b/>
          <w:bCs/>
          <w:color w:val="2E2E2E"/>
          <w:sz w:val="24"/>
          <w:szCs w:val="28"/>
        </w:rPr>
        <w:t>Reciprocity</w:t>
      </w:r>
      <w:r>
        <w:rPr>
          <w:rFonts w:eastAsia="Times New Roman" w:cstheme="minorHAnsi"/>
          <w:color w:val="2E2E2E"/>
          <w:sz w:val="24"/>
          <w:szCs w:val="28"/>
        </w:rPr>
        <w:t xml:space="preserve">: </w:t>
      </w:r>
      <w:r w:rsidR="004D2C94">
        <w:rPr>
          <w:rFonts w:eastAsia="Times New Roman" w:cstheme="minorHAnsi"/>
          <w:color w:val="2E2E2E"/>
          <w:sz w:val="24"/>
          <w:szCs w:val="28"/>
        </w:rPr>
        <w:t xml:space="preserve">For purposes of reciprocity, </w:t>
      </w:r>
      <w:r w:rsidR="00827E64">
        <w:rPr>
          <w:rFonts w:eastAsia="Times New Roman" w:cstheme="minorHAnsi"/>
          <w:color w:val="2E2E2E"/>
          <w:sz w:val="24"/>
          <w:szCs w:val="28"/>
        </w:rPr>
        <w:t xml:space="preserve">Ohio’s educational requirements are </w:t>
      </w:r>
      <w:r w:rsidR="004D2C94">
        <w:rPr>
          <w:rFonts w:eastAsia="Times New Roman" w:cstheme="minorHAnsi"/>
          <w:color w:val="2E2E2E"/>
          <w:sz w:val="24"/>
          <w:szCs w:val="28"/>
        </w:rPr>
        <w:t xml:space="preserve">recognized as </w:t>
      </w:r>
      <w:r w:rsidR="00827E64">
        <w:rPr>
          <w:rFonts w:eastAsia="Times New Roman" w:cstheme="minorHAnsi"/>
          <w:color w:val="2E2E2E"/>
          <w:sz w:val="24"/>
          <w:szCs w:val="28"/>
        </w:rPr>
        <w:t xml:space="preserve">substantially equivalent to all other US states’ requirements, and therefore Ohio CPA license holders can apply for </w:t>
      </w:r>
      <w:r w:rsidR="004D2C94">
        <w:rPr>
          <w:rFonts w:eastAsia="Times New Roman" w:cstheme="minorHAnsi"/>
          <w:color w:val="2E2E2E"/>
          <w:sz w:val="24"/>
          <w:szCs w:val="28"/>
        </w:rPr>
        <w:t xml:space="preserve">a license via </w:t>
      </w:r>
      <w:r w:rsidR="00827E64">
        <w:rPr>
          <w:rFonts w:eastAsia="Times New Roman" w:cstheme="minorHAnsi"/>
          <w:color w:val="2E2E2E"/>
          <w:sz w:val="24"/>
          <w:szCs w:val="28"/>
        </w:rPr>
        <w:t>reciprocity with any other US state. Applicants need to pay a fee (determined by each state), submit applications and forms determined by each state, and may be subject to criminal background checks, experience requirements or other requirements as determined by each state.</w:t>
      </w:r>
      <w:r w:rsidR="00656537">
        <w:rPr>
          <w:rFonts w:eastAsia="Times New Roman" w:cstheme="minorHAnsi"/>
          <w:color w:val="2E2E2E"/>
          <w:sz w:val="24"/>
          <w:szCs w:val="28"/>
        </w:rPr>
        <w:t xml:space="preserve"> </w:t>
      </w:r>
    </w:p>
    <w:p w14:paraId="353DD3F1" w14:textId="77777777" w:rsidR="00F9768C" w:rsidRDefault="00F9768C" w:rsidP="00656537">
      <w:pPr>
        <w:spacing w:after="60" w:line="240" w:lineRule="auto"/>
        <w:outlineLvl w:val="1"/>
        <w:rPr>
          <w:rFonts w:eastAsia="Times New Roman" w:cstheme="minorHAnsi"/>
          <w:color w:val="2E2E2E"/>
          <w:sz w:val="24"/>
          <w:szCs w:val="28"/>
        </w:rPr>
      </w:pPr>
    </w:p>
    <w:p w14:paraId="1E36F1E3" w14:textId="0D687149" w:rsidR="00827E64" w:rsidRDefault="00656537" w:rsidP="00656537">
      <w:pPr>
        <w:spacing w:after="60" w:line="240" w:lineRule="auto"/>
        <w:outlineLvl w:val="1"/>
        <w:rPr>
          <w:rFonts w:eastAsia="Times New Roman" w:cstheme="minorHAnsi"/>
          <w:color w:val="2E2E2E"/>
          <w:sz w:val="24"/>
          <w:szCs w:val="28"/>
        </w:rPr>
      </w:pPr>
      <w:r>
        <w:rPr>
          <w:rFonts w:eastAsia="Times New Roman" w:cstheme="minorHAnsi"/>
          <w:color w:val="2E2E2E"/>
          <w:sz w:val="24"/>
          <w:szCs w:val="28"/>
        </w:rPr>
        <w:t>Some states have a “two-tier” system, in which a certificate is initially issued</w:t>
      </w:r>
      <w:r w:rsidR="00F9768C">
        <w:rPr>
          <w:rFonts w:eastAsia="Times New Roman" w:cstheme="minorHAnsi"/>
          <w:color w:val="2E2E2E"/>
          <w:sz w:val="24"/>
          <w:szCs w:val="28"/>
        </w:rPr>
        <w:t xml:space="preserve">, which does not grant full CPA privileges. When further requirements are met, a CPA license is issued. Requirements and laws vary by state. </w:t>
      </w:r>
      <w:r w:rsidR="00F9768C" w:rsidRPr="00F9768C">
        <w:rPr>
          <w:rFonts w:eastAsia="Times New Roman" w:cstheme="minorHAnsi"/>
          <w:color w:val="2E2E2E"/>
          <w:sz w:val="24"/>
          <w:szCs w:val="28"/>
        </w:rPr>
        <w:t xml:space="preserve">More information about various states’ requirements can be found at </w:t>
      </w:r>
      <w:hyperlink r:id="rId8" w:history="1">
        <w:r w:rsidR="00F9768C" w:rsidRPr="00F9768C">
          <w:rPr>
            <w:rStyle w:val="Hyperlink"/>
            <w:rFonts w:eastAsia="Times New Roman" w:cstheme="minorHAnsi"/>
            <w:sz w:val="24"/>
            <w:szCs w:val="28"/>
          </w:rPr>
          <w:t>www.nasba.org</w:t>
        </w:r>
      </w:hyperlink>
      <w:r w:rsidR="00F9768C" w:rsidRPr="00F9768C">
        <w:rPr>
          <w:rFonts w:eastAsia="Times New Roman" w:cstheme="minorHAnsi"/>
          <w:color w:val="2E2E2E"/>
          <w:sz w:val="24"/>
          <w:szCs w:val="28"/>
        </w:rPr>
        <w:t xml:space="preserve"> or by contacting the appropriate states’ boards of accountancy. </w:t>
      </w:r>
    </w:p>
    <w:p w14:paraId="0E3B99C9" w14:textId="1F877C67" w:rsidR="00827E64" w:rsidRDefault="00827E64" w:rsidP="00A2449A">
      <w:pPr>
        <w:spacing w:after="60" w:line="240" w:lineRule="auto"/>
        <w:outlineLvl w:val="1"/>
        <w:rPr>
          <w:rFonts w:eastAsia="Times New Roman" w:cstheme="minorHAnsi"/>
          <w:color w:val="2E2E2E"/>
          <w:sz w:val="24"/>
          <w:szCs w:val="28"/>
        </w:rPr>
      </w:pPr>
    </w:p>
    <w:p w14:paraId="685AFDA7" w14:textId="7736C811" w:rsidR="00827E64" w:rsidRPr="00296F48" w:rsidRDefault="00827E64" w:rsidP="00827E64">
      <w:pPr>
        <w:spacing w:after="60" w:line="240" w:lineRule="auto"/>
        <w:outlineLvl w:val="1"/>
        <w:rPr>
          <w:rFonts w:eastAsia="Times New Roman" w:cstheme="minorHAnsi"/>
          <w:color w:val="2E2E2E"/>
          <w:sz w:val="24"/>
          <w:szCs w:val="28"/>
        </w:rPr>
      </w:pPr>
      <w:r>
        <w:rPr>
          <w:rFonts w:eastAsia="Times New Roman" w:cstheme="minorHAnsi"/>
          <w:color w:val="2E2E2E"/>
          <w:sz w:val="24"/>
          <w:szCs w:val="28"/>
        </w:rPr>
        <w:t xml:space="preserve">For more information, please contact Dr. Christian Mastilak at </w:t>
      </w:r>
      <w:hyperlink r:id="rId9" w:history="1">
        <w:r w:rsidRPr="00375139">
          <w:rPr>
            <w:rStyle w:val="Hyperlink"/>
            <w:rFonts w:eastAsia="Times New Roman" w:cstheme="minorHAnsi"/>
            <w:sz w:val="24"/>
            <w:szCs w:val="28"/>
          </w:rPr>
          <w:t>mastilakc@xavier.edu</w:t>
        </w:r>
      </w:hyperlink>
      <w:r>
        <w:rPr>
          <w:rFonts w:eastAsia="Times New Roman" w:cstheme="minorHAnsi"/>
          <w:color w:val="2E2E2E"/>
          <w:sz w:val="24"/>
          <w:szCs w:val="28"/>
        </w:rPr>
        <w:t xml:space="preserve"> or 513-745-3290.</w:t>
      </w:r>
    </w:p>
    <w:p w14:paraId="4BE116F6" w14:textId="77777777" w:rsidR="00A2449A" w:rsidRDefault="00A2449A" w:rsidP="00A2449A">
      <w:pPr>
        <w:spacing w:after="60" w:line="240" w:lineRule="auto"/>
        <w:outlineLvl w:val="1"/>
        <w:rPr>
          <w:rFonts w:eastAsia="Times New Roman" w:cstheme="minorHAnsi"/>
          <w:color w:val="2E2E2E"/>
          <w:sz w:val="28"/>
          <w:szCs w:val="28"/>
        </w:rPr>
      </w:pPr>
    </w:p>
    <w:p w14:paraId="5857E813" w14:textId="77777777" w:rsidR="00A2449A" w:rsidRDefault="00A2449A" w:rsidP="003379EE">
      <w:pPr>
        <w:rPr>
          <w:rFonts w:ascii="Helvetica" w:eastAsia="Times New Roman" w:hAnsi="Helvetica" w:cs="Times New Roman"/>
          <w:color w:val="000000"/>
          <w:sz w:val="21"/>
          <w:szCs w:val="21"/>
        </w:rPr>
      </w:pPr>
    </w:p>
    <w:p w14:paraId="3F6F16FD" w14:textId="77777777" w:rsidR="00A2449A" w:rsidRDefault="00A2449A" w:rsidP="003379EE">
      <w:pPr>
        <w:rPr>
          <w:rFonts w:ascii="Helvetica" w:eastAsia="Times New Roman" w:hAnsi="Helvetica" w:cs="Times New Roman"/>
          <w:color w:val="000000"/>
          <w:sz w:val="21"/>
          <w:szCs w:val="21"/>
        </w:rPr>
      </w:pPr>
    </w:p>
    <w:p w14:paraId="77A8DF07" w14:textId="61C93B22" w:rsidR="003379EE" w:rsidRDefault="003379EE"/>
    <w:p w14:paraId="24810901" w14:textId="77777777" w:rsidR="003379EE" w:rsidRDefault="003379EE"/>
    <w:p w14:paraId="05432FC7" w14:textId="77777777" w:rsidR="003379EE" w:rsidRDefault="003379EE"/>
    <w:sectPr w:rsidR="0033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EE"/>
    <w:rsid w:val="000B211B"/>
    <w:rsid w:val="00132848"/>
    <w:rsid w:val="00210804"/>
    <w:rsid w:val="00296F48"/>
    <w:rsid w:val="002E39C9"/>
    <w:rsid w:val="002F5A64"/>
    <w:rsid w:val="003379EE"/>
    <w:rsid w:val="003643A7"/>
    <w:rsid w:val="003960A3"/>
    <w:rsid w:val="004D2C94"/>
    <w:rsid w:val="00551620"/>
    <w:rsid w:val="005C018E"/>
    <w:rsid w:val="00604571"/>
    <w:rsid w:val="00656537"/>
    <w:rsid w:val="006753E5"/>
    <w:rsid w:val="007D61B3"/>
    <w:rsid w:val="00827E64"/>
    <w:rsid w:val="00842707"/>
    <w:rsid w:val="008479B3"/>
    <w:rsid w:val="008A61CD"/>
    <w:rsid w:val="00943C93"/>
    <w:rsid w:val="00A2449A"/>
    <w:rsid w:val="00A62308"/>
    <w:rsid w:val="00A913F2"/>
    <w:rsid w:val="00AC7A66"/>
    <w:rsid w:val="00B55CC2"/>
    <w:rsid w:val="00B6531F"/>
    <w:rsid w:val="00C806A0"/>
    <w:rsid w:val="00D354F9"/>
    <w:rsid w:val="00E91976"/>
    <w:rsid w:val="00F424EC"/>
    <w:rsid w:val="00F976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6168"/>
  <w15:chartTrackingRefBased/>
  <w15:docId w15:val="{CC17DD92-EBCB-4FDD-A0B9-1A303160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976"/>
    <w:rPr>
      <w:color w:val="0563C1" w:themeColor="hyperlink"/>
      <w:u w:val="single"/>
    </w:rPr>
  </w:style>
  <w:style w:type="character" w:styleId="CommentReference">
    <w:name w:val="annotation reference"/>
    <w:basedOn w:val="DefaultParagraphFont"/>
    <w:uiPriority w:val="99"/>
    <w:semiHidden/>
    <w:unhideWhenUsed/>
    <w:rsid w:val="008479B3"/>
    <w:rPr>
      <w:sz w:val="16"/>
      <w:szCs w:val="16"/>
    </w:rPr>
  </w:style>
  <w:style w:type="paragraph" w:styleId="CommentText">
    <w:name w:val="annotation text"/>
    <w:basedOn w:val="Normal"/>
    <w:link w:val="CommentTextChar"/>
    <w:uiPriority w:val="99"/>
    <w:semiHidden/>
    <w:unhideWhenUsed/>
    <w:rsid w:val="008479B3"/>
    <w:pPr>
      <w:spacing w:line="240" w:lineRule="auto"/>
    </w:pPr>
    <w:rPr>
      <w:sz w:val="20"/>
      <w:szCs w:val="20"/>
    </w:rPr>
  </w:style>
  <w:style w:type="character" w:customStyle="1" w:styleId="CommentTextChar">
    <w:name w:val="Comment Text Char"/>
    <w:basedOn w:val="DefaultParagraphFont"/>
    <w:link w:val="CommentText"/>
    <w:uiPriority w:val="99"/>
    <w:semiHidden/>
    <w:rsid w:val="008479B3"/>
    <w:rPr>
      <w:sz w:val="20"/>
      <w:szCs w:val="20"/>
    </w:rPr>
  </w:style>
  <w:style w:type="paragraph" w:styleId="BalloonText">
    <w:name w:val="Balloon Text"/>
    <w:basedOn w:val="Normal"/>
    <w:link w:val="BalloonTextChar"/>
    <w:uiPriority w:val="99"/>
    <w:semiHidden/>
    <w:unhideWhenUsed/>
    <w:rsid w:val="00847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9B3"/>
    <w:rPr>
      <w:rFonts w:ascii="Segoe UI" w:hAnsi="Segoe UI" w:cs="Segoe UI"/>
      <w:sz w:val="18"/>
      <w:szCs w:val="18"/>
    </w:rPr>
  </w:style>
  <w:style w:type="character" w:styleId="FollowedHyperlink">
    <w:name w:val="FollowedHyperlink"/>
    <w:basedOn w:val="DefaultParagraphFont"/>
    <w:uiPriority w:val="99"/>
    <w:semiHidden/>
    <w:unhideWhenUsed/>
    <w:rsid w:val="003960A3"/>
    <w:rPr>
      <w:color w:val="954F72" w:themeColor="followedHyperlink"/>
      <w:u w:val="single"/>
    </w:rPr>
  </w:style>
  <w:style w:type="paragraph" w:styleId="ListParagraph">
    <w:name w:val="List Paragraph"/>
    <w:basedOn w:val="Normal"/>
    <w:uiPriority w:val="34"/>
    <w:qFormat/>
    <w:rsid w:val="007D61B3"/>
    <w:pPr>
      <w:ind w:left="720"/>
      <w:contextualSpacing/>
    </w:pPr>
  </w:style>
  <w:style w:type="character" w:styleId="UnresolvedMention">
    <w:name w:val="Unresolved Mention"/>
    <w:basedOn w:val="DefaultParagraphFont"/>
    <w:uiPriority w:val="99"/>
    <w:semiHidden/>
    <w:unhideWhenUsed/>
    <w:rsid w:val="00F9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9541">
      <w:bodyDiv w:val="1"/>
      <w:marLeft w:val="0"/>
      <w:marRight w:val="0"/>
      <w:marTop w:val="0"/>
      <w:marBottom w:val="0"/>
      <w:divBdr>
        <w:top w:val="none" w:sz="0" w:space="0" w:color="auto"/>
        <w:left w:val="none" w:sz="0" w:space="0" w:color="auto"/>
        <w:bottom w:val="none" w:sz="0" w:space="0" w:color="auto"/>
        <w:right w:val="none" w:sz="0" w:space="0" w:color="auto"/>
      </w:divBdr>
    </w:div>
    <w:div w:id="90052457">
      <w:bodyDiv w:val="1"/>
      <w:marLeft w:val="0"/>
      <w:marRight w:val="0"/>
      <w:marTop w:val="0"/>
      <w:marBottom w:val="0"/>
      <w:divBdr>
        <w:top w:val="none" w:sz="0" w:space="0" w:color="auto"/>
        <w:left w:val="none" w:sz="0" w:space="0" w:color="auto"/>
        <w:bottom w:val="none" w:sz="0" w:space="0" w:color="auto"/>
        <w:right w:val="none" w:sz="0" w:space="0" w:color="auto"/>
      </w:divBdr>
    </w:div>
    <w:div w:id="283737359">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465438277">
      <w:bodyDiv w:val="1"/>
      <w:marLeft w:val="0"/>
      <w:marRight w:val="0"/>
      <w:marTop w:val="0"/>
      <w:marBottom w:val="0"/>
      <w:divBdr>
        <w:top w:val="none" w:sz="0" w:space="0" w:color="auto"/>
        <w:left w:val="none" w:sz="0" w:space="0" w:color="auto"/>
        <w:bottom w:val="none" w:sz="0" w:space="0" w:color="auto"/>
        <w:right w:val="none" w:sz="0" w:space="0" w:color="auto"/>
      </w:divBdr>
    </w:div>
    <w:div w:id="797383964">
      <w:bodyDiv w:val="1"/>
      <w:marLeft w:val="0"/>
      <w:marRight w:val="0"/>
      <w:marTop w:val="0"/>
      <w:marBottom w:val="0"/>
      <w:divBdr>
        <w:top w:val="none" w:sz="0" w:space="0" w:color="auto"/>
        <w:left w:val="none" w:sz="0" w:space="0" w:color="auto"/>
        <w:bottom w:val="none" w:sz="0" w:space="0" w:color="auto"/>
        <w:right w:val="none" w:sz="0" w:space="0" w:color="auto"/>
      </w:divBdr>
    </w:div>
    <w:div w:id="1304965696">
      <w:bodyDiv w:val="1"/>
      <w:marLeft w:val="0"/>
      <w:marRight w:val="0"/>
      <w:marTop w:val="0"/>
      <w:marBottom w:val="0"/>
      <w:divBdr>
        <w:top w:val="none" w:sz="0" w:space="0" w:color="auto"/>
        <w:left w:val="none" w:sz="0" w:space="0" w:color="auto"/>
        <w:bottom w:val="none" w:sz="0" w:space="0" w:color="auto"/>
        <w:right w:val="none" w:sz="0" w:space="0" w:color="auto"/>
      </w:divBdr>
    </w:div>
    <w:div w:id="1334652212">
      <w:bodyDiv w:val="1"/>
      <w:marLeft w:val="0"/>
      <w:marRight w:val="0"/>
      <w:marTop w:val="0"/>
      <w:marBottom w:val="0"/>
      <w:divBdr>
        <w:top w:val="none" w:sz="0" w:space="0" w:color="auto"/>
        <w:left w:val="none" w:sz="0" w:space="0" w:color="auto"/>
        <w:bottom w:val="none" w:sz="0" w:space="0" w:color="auto"/>
        <w:right w:val="none" w:sz="0" w:space="0" w:color="auto"/>
      </w:divBdr>
    </w:div>
    <w:div w:id="21361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ba.org" TargetMode="External"/><Relationship Id="rId3" Type="http://schemas.openxmlformats.org/officeDocument/2006/relationships/customXml" Target="../customXml/item3.xml"/><Relationship Id="rId7" Type="http://schemas.openxmlformats.org/officeDocument/2006/relationships/hyperlink" Target="http://www.nasb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stilakc@xavi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9A3A6BC840E43A588229F7F7571CA" ma:contentTypeVersion="15" ma:contentTypeDescription="Create a new document." ma:contentTypeScope="" ma:versionID="f8c8a5501295a594bc77c81e9990d738">
  <xsd:schema xmlns:xsd="http://www.w3.org/2001/XMLSchema" xmlns:xs="http://www.w3.org/2001/XMLSchema" xmlns:p="http://schemas.microsoft.com/office/2006/metadata/properties" xmlns:ns1="http://schemas.microsoft.com/sharepoint/v3" xmlns:ns3="5094ca5f-427f-4451-a3f7-ca4d4ff8e06f" xmlns:ns4="16f3cb70-b993-4384-ac1d-ae5d37d0dea5" targetNamespace="http://schemas.microsoft.com/office/2006/metadata/properties" ma:root="true" ma:fieldsID="1cf29002d9fa7b28e3950a7225858930" ns1:_="" ns3:_="" ns4:_="">
    <xsd:import namespace="http://schemas.microsoft.com/sharepoint/v3"/>
    <xsd:import namespace="5094ca5f-427f-4451-a3f7-ca4d4ff8e06f"/>
    <xsd:import namespace="16f3cb70-b993-4384-ac1d-ae5d37d0de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4ca5f-427f-4451-a3f7-ca4d4ff8e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3cb70-b993-4384-ac1d-ae5d37d0de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A1CB8-3E0E-4269-86A5-EC4A8237FE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D388DA-769D-42BE-933F-BD392059B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4ca5f-427f-4451-a3f7-ca4d4ff8e06f"/>
    <ds:schemaRef ds:uri="16f3cb70-b993-4384-ac1d-ae5d37d0d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7FE54-AC32-4A9C-A009-5FF4060DF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 Brittiani</dc:creator>
  <cp:keywords/>
  <dc:description/>
  <cp:lastModifiedBy>Mastilak, Christian</cp:lastModifiedBy>
  <cp:revision>6</cp:revision>
  <dcterms:created xsi:type="dcterms:W3CDTF">2021-07-14T17:57:00Z</dcterms:created>
  <dcterms:modified xsi:type="dcterms:W3CDTF">2021-07-14T18:27:00Z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0x0101007239A3A6BC840E43A588229F7F7571CA</vt:lpwstr>
  </property>
</Properties>
</file>