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16D93" w14:textId="1590939F" w:rsidR="00811DDB" w:rsidRPr="00E07C6C" w:rsidRDefault="00FF09D7" w:rsidP="00E07C6C">
      <w:pPr>
        <w:pStyle w:val="NoSpacing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6235F0">
        <w:rPr>
          <w:rFonts w:ascii="Times New Roman" w:hAnsi="Times New Roman" w:cs="Times New Roman"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1B3E4FF8" wp14:editId="20CA7A9C">
            <wp:simplePos x="0" y="0"/>
            <wp:positionH relativeFrom="column">
              <wp:posOffset>-177165</wp:posOffset>
            </wp:positionH>
            <wp:positionV relativeFrom="paragraph">
              <wp:posOffset>-387562</wp:posOffset>
            </wp:positionV>
            <wp:extent cx="1905000" cy="331470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443D" w14:textId="77777777" w:rsidR="00E07C6C" w:rsidRPr="000A0DAC" w:rsidRDefault="00E07C6C" w:rsidP="00E07C6C">
      <w:pPr>
        <w:pStyle w:val="NoSpacing"/>
        <w:jc w:val="center"/>
        <w:rPr>
          <w:b/>
          <w:color w:val="000000" w:themeColor="text1"/>
        </w:rPr>
      </w:pPr>
      <w:r w:rsidRPr="00C95166">
        <w:rPr>
          <w:b/>
        </w:rPr>
        <w:t xml:space="preserve">Occupational </w:t>
      </w:r>
      <w:r>
        <w:rPr>
          <w:b/>
        </w:rPr>
        <w:t>Therapy Doctorate (OTD) Direct Admit Pathway</w:t>
      </w:r>
      <w:r w:rsidRPr="000A0DAC">
        <w:rPr>
          <w:b/>
          <w:color w:val="000000" w:themeColor="text1"/>
        </w:rPr>
        <w:t xml:space="preserve">: </w:t>
      </w:r>
    </w:p>
    <w:p w14:paraId="294C7E60" w14:textId="77777777" w:rsidR="00E07C6C" w:rsidRPr="000A0DAC" w:rsidRDefault="00E07C6C" w:rsidP="00E07C6C">
      <w:pPr>
        <w:pStyle w:val="NoSpacing"/>
        <w:jc w:val="center"/>
        <w:rPr>
          <w:b/>
          <w:i/>
          <w:color w:val="000000" w:themeColor="text1"/>
        </w:rPr>
      </w:pPr>
      <w:r w:rsidRPr="000A0DAC">
        <w:rPr>
          <w:b/>
          <w:i/>
          <w:color w:val="000000" w:themeColor="text1"/>
        </w:rPr>
        <w:t xml:space="preserve">Xavier University </w:t>
      </w:r>
      <w:r>
        <w:rPr>
          <w:b/>
          <w:i/>
          <w:color w:val="000000" w:themeColor="text1"/>
        </w:rPr>
        <w:t>Freshman</w:t>
      </w:r>
      <w:r w:rsidRPr="000A0DAC">
        <w:rPr>
          <w:b/>
          <w:i/>
          <w:color w:val="000000" w:themeColor="text1"/>
        </w:rPr>
        <w:t xml:space="preserve"> Students</w:t>
      </w:r>
    </w:p>
    <w:p w14:paraId="64F35034" w14:textId="6FCCA26F" w:rsidR="00E07C6C" w:rsidRDefault="00E07C6C" w:rsidP="00E07C6C">
      <w:pPr>
        <w:pStyle w:val="NoSpacing"/>
        <w:jc w:val="center"/>
        <w:rPr>
          <w:color w:val="000000" w:themeColor="text1"/>
        </w:rPr>
      </w:pPr>
    </w:p>
    <w:p w14:paraId="18807257" w14:textId="77777777" w:rsidR="00C63C06" w:rsidRPr="000A0DAC" w:rsidRDefault="00C63C06" w:rsidP="00E07C6C">
      <w:pPr>
        <w:pStyle w:val="NoSpacing"/>
        <w:jc w:val="center"/>
        <w:rPr>
          <w:color w:val="000000" w:themeColor="text1"/>
        </w:rPr>
      </w:pPr>
    </w:p>
    <w:p w14:paraId="6558D9E4" w14:textId="77777777" w:rsidR="00E07C6C" w:rsidRPr="000A0DAC" w:rsidRDefault="00E07C6C" w:rsidP="00E07C6C">
      <w:pPr>
        <w:pStyle w:val="NoSpacing"/>
        <w:jc w:val="center"/>
        <w:rPr>
          <w:b/>
          <w:color w:val="000000" w:themeColor="text1"/>
          <w:u w:val="double"/>
        </w:rPr>
      </w:pPr>
      <w:r w:rsidRPr="000A0DAC">
        <w:rPr>
          <w:b/>
          <w:color w:val="000000" w:themeColor="text1"/>
          <w:u w:val="double"/>
        </w:rPr>
        <w:t xml:space="preserve">Applicable </w:t>
      </w:r>
      <w:r>
        <w:rPr>
          <w:b/>
          <w:color w:val="000000" w:themeColor="text1"/>
          <w:u w:val="double"/>
        </w:rPr>
        <w:t>O</w:t>
      </w:r>
      <w:r w:rsidRPr="000A0DAC">
        <w:rPr>
          <w:b/>
          <w:color w:val="000000" w:themeColor="text1"/>
          <w:u w:val="double"/>
        </w:rPr>
        <w:t>nly to Xavier University</w:t>
      </w:r>
      <w:r>
        <w:rPr>
          <w:b/>
          <w:color w:val="000000" w:themeColor="text1"/>
          <w:u w:val="double"/>
        </w:rPr>
        <w:t xml:space="preserve"> Freshman Students</w:t>
      </w:r>
    </w:p>
    <w:p w14:paraId="1CABFB76" w14:textId="77777777" w:rsidR="00E07C6C" w:rsidRPr="000A0DAC" w:rsidRDefault="00E07C6C" w:rsidP="00E07C6C">
      <w:pPr>
        <w:pStyle w:val="NoSpacing"/>
        <w:jc w:val="center"/>
        <w:rPr>
          <w:b/>
          <w:color w:val="000000" w:themeColor="text1"/>
          <w:u w:val="double"/>
        </w:rPr>
      </w:pPr>
    </w:p>
    <w:p w14:paraId="0CDAAC78" w14:textId="5A47ABD0" w:rsidR="00E07C6C" w:rsidRDefault="00E07C6C" w:rsidP="00E07C6C">
      <w:pPr>
        <w:pStyle w:val="NoSpacing"/>
        <w:rPr>
          <w:color w:val="000000" w:themeColor="text1"/>
        </w:rPr>
      </w:pPr>
      <w:r w:rsidRPr="000A0DAC">
        <w:rPr>
          <w:color w:val="000000" w:themeColor="text1"/>
        </w:rPr>
        <w:t>50% of</w:t>
      </w:r>
      <w:r>
        <w:rPr>
          <w:color w:val="000000" w:themeColor="text1"/>
        </w:rPr>
        <w:t xml:space="preserve"> OTD</w:t>
      </w:r>
      <w:r w:rsidRPr="000A0DAC">
        <w:rPr>
          <w:color w:val="000000" w:themeColor="text1"/>
        </w:rPr>
        <w:t xml:space="preserve"> student slots </w:t>
      </w:r>
      <w:r>
        <w:rPr>
          <w:color w:val="000000" w:themeColor="text1"/>
        </w:rPr>
        <w:t xml:space="preserve">will be held for </w:t>
      </w:r>
      <w:r w:rsidR="00195436">
        <w:rPr>
          <w:color w:val="000000" w:themeColor="text1"/>
        </w:rPr>
        <w:t xml:space="preserve">exceptional </w:t>
      </w:r>
      <w:r>
        <w:rPr>
          <w:color w:val="000000" w:themeColor="text1"/>
        </w:rPr>
        <w:t>incoming Xavier University freshman students who</w:t>
      </w:r>
    </w:p>
    <w:p w14:paraId="3C173FD3" w14:textId="77777777" w:rsidR="00E07C6C" w:rsidRDefault="00E07C6C" w:rsidP="00E07C6C">
      <w:pPr>
        <w:pStyle w:val="NoSpacing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Are in the upper tier as indicated by high school cumulative GPA and ACT or SAT scores, </w:t>
      </w:r>
      <w:r>
        <w:rPr>
          <w:i/>
          <w:color w:val="000000" w:themeColor="text1"/>
        </w:rPr>
        <w:t>and</w:t>
      </w:r>
    </w:p>
    <w:p w14:paraId="62F85F63" w14:textId="77777777" w:rsidR="00E07C6C" w:rsidRPr="00EA0C06" w:rsidRDefault="00E07C6C" w:rsidP="00E07C6C">
      <w:pPr>
        <w:pStyle w:val="NoSpacing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Meet OTD Admission criteria upon application to the OTD Program</w:t>
      </w:r>
    </w:p>
    <w:p w14:paraId="6D703BB8" w14:textId="77777777" w:rsidR="00E07C6C" w:rsidRDefault="00E07C6C" w:rsidP="00E07C6C">
      <w:pPr>
        <w:pStyle w:val="NoSpacing"/>
        <w:rPr>
          <w:color w:val="000000" w:themeColor="text1"/>
        </w:rPr>
      </w:pPr>
    </w:p>
    <w:p w14:paraId="312931AE" w14:textId="77777777" w:rsidR="00E07C6C" w:rsidRPr="000A0DAC" w:rsidRDefault="00E07C6C" w:rsidP="00E07C6C">
      <w:pPr>
        <w:pStyle w:val="NoSpacing"/>
        <w:rPr>
          <w:color w:val="000000" w:themeColor="text1"/>
        </w:rPr>
      </w:pPr>
    </w:p>
    <w:p w14:paraId="1463AFCA" w14:textId="20BEB3F0" w:rsidR="00E07C6C" w:rsidRPr="000A0DAC" w:rsidRDefault="00E07C6C" w:rsidP="00E07C6C">
      <w:pPr>
        <w:pStyle w:val="NoSpacing"/>
        <w:rPr>
          <w:b/>
          <w:color w:val="000000" w:themeColor="text1"/>
          <w:u w:val="double"/>
        </w:rPr>
      </w:pPr>
      <w:r>
        <w:rPr>
          <w:b/>
          <w:color w:val="000000" w:themeColor="text1"/>
          <w:u w:val="double"/>
        </w:rPr>
        <w:t>Direct Admit Pathway</w:t>
      </w:r>
      <w:r w:rsidR="00195436">
        <w:rPr>
          <w:b/>
          <w:color w:val="000000" w:themeColor="text1"/>
          <w:u w:val="double"/>
        </w:rPr>
        <w:t xml:space="preserve"> </w:t>
      </w:r>
      <w:r>
        <w:rPr>
          <w:b/>
          <w:color w:val="000000" w:themeColor="text1"/>
          <w:u w:val="double"/>
        </w:rPr>
        <w:t>C</w:t>
      </w:r>
      <w:r w:rsidRPr="000A0DAC">
        <w:rPr>
          <w:b/>
          <w:color w:val="000000" w:themeColor="text1"/>
          <w:u w:val="double"/>
        </w:rPr>
        <w:t>riteria:</w:t>
      </w:r>
    </w:p>
    <w:p w14:paraId="4F5B881D" w14:textId="77777777" w:rsidR="00E07C6C" w:rsidRPr="000A0DAC" w:rsidRDefault="00E07C6C" w:rsidP="00E07C6C">
      <w:pPr>
        <w:pStyle w:val="NoSpacing"/>
        <w:rPr>
          <w:color w:val="000000" w:themeColor="text1"/>
        </w:rPr>
      </w:pPr>
    </w:p>
    <w:p w14:paraId="05818F10" w14:textId="0D5502D1" w:rsidR="00E07C6C" w:rsidRDefault="00E07C6C" w:rsidP="00E07C6C">
      <w:pPr>
        <w:pStyle w:val="NoSpacing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0A0DAC">
        <w:rPr>
          <w:color w:val="000000" w:themeColor="text1"/>
        </w:rPr>
        <w:t xml:space="preserve">Submit </w:t>
      </w:r>
      <w:r>
        <w:rPr>
          <w:color w:val="000000" w:themeColor="text1"/>
        </w:rPr>
        <w:t xml:space="preserve"> Xavier University</w:t>
      </w:r>
      <w:r w:rsidRPr="000A0D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application </w:t>
      </w:r>
      <w:r w:rsidR="00195436">
        <w:rPr>
          <w:color w:val="000000" w:themeColor="text1"/>
        </w:rPr>
        <w:t>by February 1</w:t>
      </w:r>
    </w:p>
    <w:p w14:paraId="565A1A13" w14:textId="564EDEA4" w:rsidR="00E07C6C" w:rsidRPr="00EA0C06" w:rsidRDefault="00E07C6C" w:rsidP="00E07C6C">
      <w:pPr>
        <w:pStyle w:val="NoSpacing"/>
        <w:numPr>
          <w:ilvl w:val="0"/>
          <w:numId w:val="23"/>
        </w:numPr>
        <w:spacing w:line="360" w:lineRule="auto"/>
        <w:rPr>
          <w:color w:val="000000" w:themeColor="text1"/>
        </w:rPr>
      </w:pPr>
      <w:r>
        <w:t xml:space="preserve">Select ‘pre-occupational therapy’ </w:t>
      </w:r>
      <w:r w:rsidR="00195436">
        <w:t xml:space="preserve">as your pre-professional track </w:t>
      </w:r>
      <w:r>
        <w:t>on the Xavier University admission application</w:t>
      </w:r>
      <w:r w:rsidR="0084315D">
        <w:t xml:space="preserve"> or Common App</w:t>
      </w:r>
    </w:p>
    <w:p w14:paraId="59A72CC2" w14:textId="77777777" w:rsidR="00E07C6C" w:rsidRPr="00EA0C06" w:rsidRDefault="00E07C6C" w:rsidP="00E07C6C">
      <w:pPr>
        <w:pStyle w:val="NoSpacing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EA0C06">
        <w:t xml:space="preserve">Deposit at Xavier University </w:t>
      </w:r>
      <w:r>
        <w:t>by the May 1 deadline</w:t>
      </w:r>
    </w:p>
    <w:p w14:paraId="7D6CF0DB" w14:textId="5AB91B39" w:rsidR="00E07C6C" w:rsidRPr="000A0DAC" w:rsidRDefault="00147541" w:rsidP="00E07C6C">
      <w:pPr>
        <w:pStyle w:val="NoSpacing"/>
        <w:numPr>
          <w:ilvl w:val="0"/>
          <w:numId w:val="2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Earn a cu</w:t>
      </w:r>
      <w:r w:rsidR="003544F1">
        <w:rPr>
          <w:color w:val="000000" w:themeColor="text1"/>
        </w:rPr>
        <w:t xml:space="preserve">mulative high school GPA of 3.75 </w:t>
      </w:r>
      <w:r w:rsidR="00195436">
        <w:rPr>
          <w:color w:val="000000" w:themeColor="text1"/>
        </w:rPr>
        <w:t>or higher</w:t>
      </w:r>
      <w:r w:rsidR="003544F1">
        <w:rPr>
          <w:color w:val="000000" w:themeColor="text1"/>
        </w:rPr>
        <w:t xml:space="preserve"> (typically students offered the Direct Admit Pathway with a 3.75 GPA or higher)</w:t>
      </w:r>
    </w:p>
    <w:p w14:paraId="5760EE5A" w14:textId="22F112BA" w:rsidR="00E07C6C" w:rsidRDefault="003544F1" w:rsidP="00E07C6C">
      <w:pPr>
        <w:pStyle w:val="NoSpacing"/>
        <w:numPr>
          <w:ilvl w:val="0"/>
          <w:numId w:val="23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195436">
        <w:rPr>
          <w:color w:val="000000" w:themeColor="text1"/>
        </w:rPr>
        <w:t>btain a minimum SAT score of 1310 or ACT score of 28</w:t>
      </w:r>
      <w:r>
        <w:rPr>
          <w:color w:val="000000" w:themeColor="text1"/>
        </w:rPr>
        <w:t xml:space="preserve"> (typically students offered the Direct Admit Pathway with these minimum scores)</w:t>
      </w:r>
    </w:p>
    <w:p w14:paraId="251CBA52" w14:textId="77777777" w:rsidR="00195436" w:rsidRDefault="00195436" w:rsidP="00195436">
      <w:pPr>
        <w:pStyle w:val="NoSpacing"/>
        <w:rPr>
          <w:color w:val="000000" w:themeColor="text1"/>
        </w:rPr>
      </w:pPr>
    </w:p>
    <w:p w14:paraId="58F75FA2" w14:textId="3F7EB218" w:rsidR="00195436" w:rsidRDefault="00195436" w:rsidP="00195436">
      <w:pPr>
        <w:pStyle w:val="NoSpacing"/>
        <w:rPr>
          <w:color w:val="000000" w:themeColor="text1"/>
        </w:rPr>
      </w:pPr>
      <w:r>
        <w:rPr>
          <w:color w:val="000000" w:themeColor="text1"/>
        </w:rPr>
        <w:t>Students who apply will know of their Direct Admit Pathway acceptance by March 1.</w:t>
      </w:r>
    </w:p>
    <w:p w14:paraId="3CA4E902" w14:textId="77777777" w:rsidR="00E07C6C" w:rsidRDefault="00E07C6C" w:rsidP="00E07C6C">
      <w:pPr>
        <w:pStyle w:val="NoSpacing"/>
        <w:spacing w:line="360" w:lineRule="auto"/>
        <w:rPr>
          <w:color w:val="000000" w:themeColor="text1"/>
        </w:rPr>
      </w:pPr>
    </w:p>
    <w:p w14:paraId="1D8BC44D" w14:textId="53497068" w:rsidR="00E07C6C" w:rsidRPr="001C0AB2" w:rsidRDefault="00195436" w:rsidP="00E07C6C">
      <w:pPr>
        <w:pStyle w:val="NoSpacing"/>
        <w:rPr>
          <w:color w:val="FF0000"/>
        </w:rPr>
      </w:pPr>
      <w:r>
        <w:t>Direct Admit P</w:t>
      </w:r>
      <w:r w:rsidR="00E07C6C">
        <w:t xml:space="preserve">athway students must apply to the OTD Program. Acceptance to the OTD Program and admission assured for students who </w:t>
      </w:r>
      <w:r w:rsidR="001C0AB2">
        <w:t xml:space="preserve">meet all OTD admission criteria </w:t>
      </w:r>
      <w:r w:rsidR="001C0AB2" w:rsidRPr="00FB5EED">
        <w:t xml:space="preserve">given they matriculate into the OTD Program the summer immediately following </w:t>
      </w:r>
      <w:r w:rsidR="00C63C06">
        <w:t xml:space="preserve">completion of a minimum undergraduate degree from Xavier University. </w:t>
      </w:r>
    </w:p>
    <w:p w14:paraId="03D90F7E" w14:textId="6B984054" w:rsidR="00FE2377" w:rsidRDefault="00FE2377" w:rsidP="00E07C6C">
      <w:pPr>
        <w:rPr>
          <w:rFonts w:ascii="Times New Roman" w:hAnsi="Times New Roman" w:cs="Times New Roman"/>
          <w:sz w:val="22"/>
          <w:szCs w:val="22"/>
        </w:rPr>
      </w:pPr>
    </w:p>
    <w:p w14:paraId="1C214BA4" w14:textId="77777777" w:rsidR="00FB5EED" w:rsidRDefault="00FB5EED" w:rsidP="00E07C6C">
      <w:pPr>
        <w:rPr>
          <w:rFonts w:ascii="Times New Roman" w:hAnsi="Times New Roman" w:cs="Times New Roman"/>
          <w:sz w:val="22"/>
          <w:szCs w:val="22"/>
        </w:rPr>
      </w:pPr>
    </w:p>
    <w:p w14:paraId="72D68591" w14:textId="563E80C5" w:rsidR="00FB5EED" w:rsidRDefault="00FB5EED" w:rsidP="00E07C6C">
      <w:pPr>
        <w:rPr>
          <w:rFonts w:ascii="Times New Roman" w:hAnsi="Times New Roman" w:cs="Times New Roman"/>
          <w:sz w:val="22"/>
          <w:szCs w:val="22"/>
        </w:rPr>
      </w:pPr>
    </w:p>
    <w:p w14:paraId="36DEDFC8" w14:textId="007076D3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758B1A2C" w14:textId="0E6E254B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329954AF" w14:textId="085BCF8F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5E62BE2D" w14:textId="48708FBD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005A420" w14:textId="13D1EE77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56EF8FB4" w14:textId="61CEB56E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55114CCF" w14:textId="77777777" w:rsidR="00C63C06" w:rsidRDefault="00C63C06" w:rsidP="00E07C6C">
      <w:pPr>
        <w:rPr>
          <w:rFonts w:ascii="Times New Roman" w:hAnsi="Times New Roman" w:cs="Times New Roman"/>
          <w:sz w:val="22"/>
          <w:szCs w:val="22"/>
        </w:rPr>
      </w:pPr>
    </w:p>
    <w:p w14:paraId="4AE8CD0D" w14:textId="28196F7B" w:rsidR="00FB5EED" w:rsidRDefault="00FB5EED" w:rsidP="00E07C6C">
      <w:pPr>
        <w:rPr>
          <w:rFonts w:ascii="Times New Roman" w:hAnsi="Times New Roman" w:cs="Times New Roman"/>
          <w:sz w:val="22"/>
          <w:szCs w:val="22"/>
        </w:rPr>
      </w:pPr>
      <w:r w:rsidRPr="00B52811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1E74EE" wp14:editId="3483F4E4">
                <wp:simplePos x="0" y="0"/>
                <wp:positionH relativeFrom="margin">
                  <wp:posOffset>-95250</wp:posOffset>
                </wp:positionH>
                <wp:positionV relativeFrom="paragraph">
                  <wp:posOffset>161290</wp:posOffset>
                </wp:positionV>
                <wp:extent cx="7054850" cy="914400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5CB3" w14:textId="77777777" w:rsidR="00FB5EED" w:rsidRPr="00EB4B89" w:rsidRDefault="00FB5EED" w:rsidP="00FB5EED">
                            <w:pPr>
                              <w:pStyle w:val="NoSpacing"/>
                              <w:jc w:val="center"/>
                              <w:rPr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EB4B89">
                              <w:rPr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Approved by Xavier University. </w:t>
                            </w:r>
                            <w:r w:rsidRPr="00EB4B89">
                              <w:rPr>
                                <w:b/>
                                <w:color w:val="17365D" w:themeColor="text2" w:themeShade="BF"/>
                                <w:sz w:val="21"/>
                                <w:szCs w:val="21"/>
                              </w:rPr>
                              <w:t>Pending further approval by the following entities:</w:t>
                            </w:r>
                            <w:r w:rsidRPr="00EB4B89">
                              <w:rPr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EC23D6F" w14:textId="77777777" w:rsidR="00FB5EED" w:rsidRPr="00EB4B89" w:rsidRDefault="00FB5EED" w:rsidP="00FB5EED">
                            <w:pPr>
                              <w:pStyle w:val="NoSpacing"/>
                              <w:jc w:val="center"/>
                              <w:rPr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EB4B89">
                              <w:rPr>
                                <w:color w:val="17365D" w:themeColor="text2" w:themeShade="BF"/>
                                <w:sz w:val="21"/>
                                <w:szCs w:val="21"/>
                              </w:rPr>
                              <w:t>Ohio Department of Higher Education, Higher Learning Commission, Accreditation Council for Occupational Therapy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E7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7pt;width:555.5pt;height:1in;z-index:2516648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" strokecolor="#17365d [2415]" strokeweight="1pt">
                <v:textbox style="mso-fit-shape-to-text:t">
                  <w:txbxContent>
                    <w:p w14:paraId="7E055CB3" w14:textId="77777777" w:rsidR="00FB5EED" w:rsidRPr="00EB4B89" w:rsidRDefault="00FB5EED" w:rsidP="00FB5EED">
                      <w:pPr>
                        <w:pStyle w:val="NoSpacing"/>
                        <w:jc w:val="center"/>
                        <w:rPr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EB4B89">
                        <w:rPr>
                          <w:color w:val="17365D" w:themeColor="text2" w:themeShade="BF"/>
                          <w:sz w:val="21"/>
                          <w:szCs w:val="21"/>
                        </w:rPr>
                        <w:t xml:space="preserve">Approved by Xavier University. </w:t>
                      </w:r>
                      <w:r w:rsidRPr="00EB4B89">
                        <w:rPr>
                          <w:b/>
                          <w:color w:val="17365D" w:themeColor="text2" w:themeShade="BF"/>
                          <w:sz w:val="21"/>
                          <w:szCs w:val="21"/>
                        </w:rPr>
                        <w:t>Pending further approval by the following entities:</w:t>
                      </w:r>
                      <w:r w:rsidRPr="00EB4B89">
                        <w:rPr>
                          <w:color w:val="17365D" w:themeColor="text2" w:themeShade="BF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EC23D6F" w14:textId="77777777" w:rsidR="00FB5EED" w:rsidRPr="00EB4B89" w:rsidRDefault="00FB5EED" w:rsidP="00FB5EED">
                      <w:pPr>
                        <w:pStyle w:val="NoSpacing"/>
                        <w:jc w:val="center"/>
                        <w:rPr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EB4B89">
                        <w:rPr>
                          <w:color w:val="17365D" w:themeColor="text2" w:themeShade="BF"/>
                          <w:sz w:val="21"/>
                          <w:szCs w:val="21"/>
                        </w:rPr>
                        <w:t>Ohio Department of Higher Education, Higher Learning Commission, Accreditation Council for Occupational Therapy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53D9A" w14:textId="10600261" w:rsidR="00FB5EED" w:rsidRPr="006235F0" w:rsidRDefault="00FB5EED" w:rsidP="00E07C6C">
      <w:pPr>
        <w:rPr>
          <w:rFonts w:ascii="Times New Roman" w:hAnsi="Times New Roman" w:cs="Times New Roman"/>
          <w:sz w:val="22"/>
          <w:szCs w:val="22"/>
        </w:rPr>
      </w:pPr>
    </w:p>
    <w:sectPr w:rsidR="00FB5EED" w:rsidRPr="006235F0" w:rsidSect="00265D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F877F" w14:textId="77777777" w:rsidR="00D71867" w:rsidRDefault="00D71867" w:rsidP="00D06DAC">
      <w:r>
        <w:separator/>
      </w:r>
    </w:p>
  </w:endnote>
  <w:endnote w:type="continuationSeparator" w:id="0">
    <w:p w14:paraId="28C9150C" w14:textId="77777777" w:rsidR="00D71867" w:rsidRDefault="00D71867" w:rsidP="00D0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B1A5" w14:textId="6EA51149" w:rsidR="00C63C06" w:rsidRPr="00B97987" w:rsidRDefault="00C63C06" w:rsidP="00C63C06">
    <w:pPr>
      <w:pStyle w:val="NoSpacing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ab/>
    </w:r>
    <w:r>
      <w:rPr>
        <w:sz w:val="16"/>
        <w:szCs w:val="16"/>
      </w:rPr>
      <w:t>10.22.19</w:t>
    </w:r>
  </w:p>
  <w:p w14:paraId="2C83929A" w14:textId="2AFEF30E" w:rsidR="00C63C06" w:rsidRDefault="00C6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E439" w14:textId="77777777" w:rsidR="00D71867" w:rsidRDefault="00D71867" w:rsidP="00D06DAC">
      <w:r>
        <w:separator/>
      </w:r>
    </w:p>
  </w:footnote>
  <w:footnote w:type="continuationSeparator" w:id="0">
    <w:p w14:paraId="29F9D9B3" w14:textId="77777777" w:rsidR="00D71867" w:rsidRDefault="00D71867" w:rsidP="00D0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6DEA" w14:textId="77777777" w:rsidR="00D06DAC" w:rsidRDefault="00C63C06">
    <w:pPr>
      <w:pStyle w:val="Header"/>
    </w:pPr>
    <w:r>
      <w:rPr>
        <w:noProof/>
      </w:rPr>
      <w:pict w14:anchorId="33A16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607" o:spid="_x0000_s2051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Black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0617092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3A16DEB" w14:textId="1F6708A5" w:rsidR="004C7BD2" w:rsidRDefault="004C7B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C06" w:rsidRPr="00C63C0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E07C6C">
          <w:rPr>
            <w:b/>
            <w:bCs/>
            <w:noProof/>
          </w:rPr>
          <w:t xml:space="preserve"> of 1</w:t>
        </w:r>
      </w:p>
    </w:sdtContent>
  </w:sdt>
  <w:p w14:paraId="33A16DEC" w14:textId="77777777" w:rsidR="00D06DAC" w:rsidRDefault="00C63C06">
    <w:pPr>
      <w:pStyle w:val="Header"/>
    </w:pPr>
    <w:r>
      <w:rPr>
        <w:noProof/>
      </w:rPr>
      <w:pict w14:anchorId="33A16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608" o:spid="_x0000_s2050" type="#_x0000_t136" alt="" style="position:absolute;margin-left:0;margin-top:0;width:616.2pt;height:152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Black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6DEF" w14:textId="77777777" w:rsidR="00D06DAC" w:rsidRDefault="00C63C06">
    <w:pPr>
      <w:pStyle w:val="Header"/>
    </w:pPr>
    <w:r>
      <w:rPr>
        <w:noProof/>
      </w:rPr>
      <w:pict w14:anchorId="33A16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606" o:spid="_x0000_s2049" type="#_x0000_t136" alt="" style="position:absolute;margin-left:0;margin-top:0;width:609.1pt;height:152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Black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D02A0"/>
    <w:multiLevelType w:val="hybridMultilevel"/>
    <w:tmpl w:val="B7DAC2A4"/>
    <w:lvl w:ilvl="0" w:tplc="45B47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E5AD7"/>
    <w:multiLevelType w:val="hybridMultilevel"/>
    <w:tmpl w:val="BE5AF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A4A6C"/>
    <w:multiLevelType w:val="hybridMultilevel"/>
    <w:tmpl w:val="CC4AEE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80495"/>
    <w:multiLevelType w:val="hybridMultilevel"/>
    <w:tmpl w:val="04AA5718"/>
    <w:lvl w:ilvl="0" w:tplc="E1448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32C0F"/>
    <w:multiLevelType w:val="hybridMultilevel"/>
    <w:tmpl w:val="D8B419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019D6"/>
    <w:multiLevelType w:val="hybridMultilevel"/>
    <w:tmpl w:val="D5D00B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D6964"/>
    <w:multiLevelType w:val="hybridMultilevel"/>
    <w:tmpl w:val="C1FE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F401F"/>
    <w:multiLevelType w:val="hybridMultilevel"/>
    <w:tmpl w:val="30E2A7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EE4681"/>
    <w:multiLevelType w:val="hybridMultilevel"/>
    <w:tmpl w:val="A6709710"/>
    <w:lvl w:ilvl="0" w:tplc="AA309BC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A1575"/>
    <w:multiLevelType w:val="hybridMultilevel"/>
    <w:tmpl w:val="656C5A72"/>
    <w:lvl w:ilvl="0" w:tplc="6FF234F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562E9D"/>
    <w:multiLevelType w:val="hybridMultilevel"/>
    <w:tmpl w:val="E51E6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169C"/>
    <w:multiLevelType w:val="hybridMultilevel"/>
    <w:tmpl w:val="6060D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B4AB3"/>
    <w:multiLevelType w:val="hybridMultilevel"/>
    <w:tmpl w:val="36A844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00D0F"/>
    <w:multiLevelType w:val="hybridMultilevel"/>
    <w:tmpl w:val="78D615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A235AC"/>
    <w:multiLevelType w:val="hybridMultilevel"/>
    <w:tmpl w:val="8C9CDBF6"/>
    <w:lvl w:ilvl="0" w:tplc="E144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E3359"/>
    <w:multiLevelType w:val="hybridMultilevel"/>
    <w:tmpl w:val="36A844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B11644"/>
    <w:multiLevelType w:val="hybridMultilevel"/>
    <w:tmpl w:val="FD7E6E82"/>
    <w:lvl w:ilvl="0" w:tplc="6632F0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71772"/>
    <w:multiLevelType w:val="hybridMultilevel"/>
    <w:tmpl w:val="6C0A4E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30FB0"/>
    <w:multiLevelType w:val="hybridMultilevel"/>
    <w:tmpl w:val="0D4C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7002D2"/>
    <w:multiLevelType w:val="hybridMultilevel"/>
    <w:tmpl w:val="AD88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95A01"/>
    <w:multiLevelType w:val="hybridMultilevel"/>
    <w:tmpl w:val="6888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4BF"/>
    <w:multiLevelType w:val="hybridMultilevel"/>
    <w:tmpl w:val="B87049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22"/>
  </w:num>
  <w:num w:numId="15">
    <w:abstractNumId w:val="18"/>
  </w:num>
  <w:num w:numId="16">
    <w:abstractNumId w:val="0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B"/>
    <w:rsid w:val="00020ECF"/>
    <w:rsid w:val="00027309"/>
    <w:rsid w:val="000326D9"/>
    <w:rsid w:val="0006331B"/>
    <w:rsid w:val="00070988"/>
    <w:rsid w:val="00082082"/>
    <w:rsid w:val="00090B6A"/>
    <w:rsid w:val="000A1ABF"/>
    <w:rsid w:val="000F4303"/>
    <w:rsid w:val="00102396"/>
    <w:rsid w:val="00102C64"/>
    <w:rsid w:val="00147541"/>
    <w:rsid w:val="001918A4"/>
    <w:rsid w:val="00195436"/>
    <w:rsid w:val="001C0AB2"/>
    <w:rsid w:val="001C5868"/>
    <w:rsid w:val="001C6F4A"/>
    <w:rsid w:val="00200F1C"/>
    <w:rsid w:val="002068F0"/>
    <w:rsid w:val="002137F2"/>
    <w:rsid w:val="00233364"/>
    <w:rsid w:val="0023553B"/>
    <w:rsid w:val="00235C29"/>
    <w:rsid w:val="00265D11"/>
    <w:rsid w:val="00267741"/>
    <w:rsid w:val="002767D1"/>
    <w:rsid w:val="00286502"/>
    <w:rsid w:val="002C662F"/>
    <w:rsid w:val="002D0180"/>
    <w:rsid w:val="00301A54"/>
    <w:rsid w:val="00310087"/>
    <w:rsid w:val="00313B56"/>
    <w:rsid w:val="00344DC7"/>
    <w:rsid w:val="003544F1"/>
    <w:rsid w:val="003566AA"/>
    <w:rsid w:val="00367B4D"/>
    <w:rsid w:val="003A7ABB"/>
    <w:rsid w:val="003C7D4C"/>
    <w:rsid w:val="003D4317"/>
    <w:rsid w:val="003E29C1"/>
    <w:rsid w:val="00402F26"/>
    <w:rsid w:val="004624B5"/>
    <w:rsid w:val="00472906"/>
    <w:rsid w:val="0047308F"/>
    <w:rsid w:val="004B561E"/>
    <w:rsid w:val="004C7BD2"/>
    <w:rsid w:val="004D2A2E"/>
    <w:rsid w:val="00501BA4"/>
    <w:rsid w:val="00530263"/>
    <w:rsid w:val="00533B1D"/>
    <w:rsid w:val="00550DC5"/>
    <w:rsid w:val="0057401B"/>
    <w:rsid w:val="00595C02"/>
    <w:rsid w:val="005A3A22"/>
    <w:rsid w:val="005A7D57"/>
    <w:rsid w:val="005B22E0"/>
    <w:rsid w:val="005D2940"/>
    <w:rsid w:val="005D3D5C"/>
    <w:rsid w:val="005F684C"/>
    <w:rsid w:val="006235F0"/>
    <w:rsid w:val="0064589F"/>
    <w:rsid w:val="00653D34"/>
    <w:rsid w:val="00673DE7"/>
    <w:rsid w:val="0068560E"/>
    <w:rsid w:val="00693BBB"/>
    <w:rsid w:val="006A265E"/>
    <w:rsid w:val="006C45C7"/>
    <w:rsid w:val="006D4432"/>
    <w:rsid w:val="006D4C75"/>
    <w:rsid w:val="006E3957"/>
    <w:rsid w:val="00721436"/>
    <w:rsid w:val="00763059"/>
    <w:rsid w:val="007646C7"/>
    <w:rsid w:val="007D2A5D"/>
    <w:rsid w:val="007D737E"/>
    <w:rsid w:val="007F166F"/>
    <w:rsid w:val="008056EA"/>
    <w:rsid w:val="00811DDB"/>
    <w:rsid w:val="00814BAB"/>
    <w:rsid w:val="00815372"/>
    <w:rsid w:val="00831E22"/>
    <w:rsid w:val="0084315D"/>
    <w:rsid w:val="00843D3D"/>
    <w:rsid w:val="00876E2A"/>
    <w:rsid w:val="0089772E"/>
    <w:rsid w:val="00901995"/>
    <w:rsid w:val="00902608"/>
    <w:rsid w:val="00905906"/>
    <w:rsid w:val="009070C7"/>
    <w:rsid w:val="00927126"/>
    <w:rsid w:val="00934B90"/>
    <w:rsid w:val="009444FE"/>
    <w:rsid w:val="0094470A"/>
    <w:rsid w:val="00945950"/>
    <w:rsid w:val="00966ACA"/>
    <w:rsid w:val="00967516"/>
    <w:rsid w:val="00972121"/>
    <w:rsid w:val="009F7ED5"/>
    <w:rsid w:val="00A13C64"/>
    <w:rsid w:val="00A16E9E"/>
    <w:rsid w:val="00A2162C"/>
    <w:rsid w:val="00A27AAC"/>
    <w:rsid w:val="00A43DD7"/>
    <w:rsid w:val="00A71CF8"/>
    <w:rsid w:val="00A80081"/>
    <w:rsid w:val="00AA0071"/>
    <w:rsid w:val="00AC5136"/>
    <w:rsid w:val="00AE7337"/>
    <w:rsid w:val="00B015B6"/>
    <w:rsid w:val="00B106DF"/>
    <w:rsid w:val="00B31307"/>
    <w:rsid w:val="00B500F1"/>
    <w:rsid w:val="00B541E1"/>
    <w:rsid w:val="00B62EC8"/>
    <w:rsid w:val="00B63BD7"/>
    <w:rsid w:val="00B932A3"/>
    <w:rsid w:val="00B97987"/>
    <w:rsid w:val="00BB2B52"/>
    <w:rsid w:val="00BB4D0A"/>
    <w:rsid w:val="00BB54CA"/>
    <w:rsid w:val="00BE07F8"/>
    <w:rsid w:val="00C63C06"/>
    <w:rsid w:val="00C67182"/>
    <w:rsid w:val="00C70A22"/>
    <w:rsid w:val="00C74A70"/>
    <w:rsid w:val="00C93435"/>
    <w:rsid w:val="00CB1728"/>
    <w:rsid w:val="00CC2DF7"/>
    <w:rsid w:val="00CF36FA"/>
    <w:rsid w:val="00D04EAF"/>
    <w:rsid w:val="00D06DAC"/>
    <w:rsid w:val="00D17EA4"/>
    <w:rsid w:val="00D273BE"/>
    <w:rsid w:val="00D27A69"/>
    <w:rsid w:val="00D35FF7"/>
    <w:rsid w:val="00D36A79"/>
    <w:rsid w:val="00D5438A"/>
    <w:rsid w:val="00D6598D"/>
    <w:rsid w:val="00D66755"/>
    <w:rsid w:val="00D71867"/>
    <w:rsid w:val="00DB0E07"/>
    <w:rsid w:val="00DD0D1B"/>
    <w:rsid w:val="00DD77F2"/>
    <w:rsid w:val="00E07C6C"/>
    <w:rsid w:val="00E124F1"/>
    <w:rsid w:val="00E2124F"/>
    <w:rsid w:val="00E21838"/>
    <w:rsid w:val="00E27EE5"/>
    <w:rsid w:val="00E345D1"/>
    <w:rsid w:val="00E621EA"/>
    <w:rsid w:val="00E96034"/>
    <w:rsid w:val="00EA19BC"/>
    <w:rsid w:val="00EA514E"/>
    <w:rsid w:val="00EC7ABC"/>
    <w:rsid w:val="00ED0415"/>
    <w:rsid w:val="00ED57F7"/>
    <w:rsid w:val="00EE53E2"/>
    <w:rsid w:val="00EF7A4A"/>
    <w:rsid w:val="00F24356"/>
    <w:rsid w:val="00F2542E"/>
    <w:rsid w:val="00F26F9F"/>
    <w:rsid w:val="00F36117"/>
    <w:rsid w:val="00F51048"/>
    <w:rsid w:val="00F85413"/>
    <w:rsid w:val="00FB0262"/>
    <w:rsid w:val="00FB5EED"/>
    <w:rsid w:val="00FE2377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A16D91"/>
  <w15:docId w15:val="{F9E6BCDA-0F06-4773-907A-2ED77A2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D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DDB"/>
    <w:pPr>
      <w:spacing w:after="0" w:line="240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811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AC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0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AC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9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BC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BC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1995"/>
  </w:style>
  <w:style w:type="table" w:styleId="TableGrid">
    <w:name w:val="Table Grid"/>
    <w:basedOn w:val="TableNormal"/>
    <w:uiPriority w:val="59"/>
    <w:rsid w:val="00ED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73B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Galey, Stacia</cp:lastModifiedBy>
  <cp:revision>2</cp:revision>
  <cp:lastPrinted>2018-07-18T15:25:00Z</cp:lastPrinted>
  <dcterms:created xsi:type="dcterms:W3CDTF">2019-10-22T14:23:00Z</dcterms:created>
  <dcterms:modified xsi:type="dcterms:W3CDTF">2019-10-22T14:23:00Z</dcterms:modified>
</cp:coreProperties>
</file>