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0EDD" w14:textId="77777777" w:rsidR="00194595" w:rsidRDefault="00194595" w:rsidP="00D41888">
      <w:pPr>
        <w:contextualSpacing/>
        <w:rPr>
          <w:rFonts w:ascii="Helvetica" w:hAnsi="Helvetica" w:cs="Helvetica"/>
        </w:rPr>
      </w:pPr>
    </w:p>
    <w:p w14:paraId="022EB42F" w14:textId="77777777" w:rsidR="00194595" w:rsidRPr="00267A7A" w:rsidRDefault="00194595" w:rsidP="00DD3C2C">
      <w:pPr>
        <w:contextualSpacing/>
        <w:jc w:val="center"/>
        <w:rPr>
          <w:rFonts w:ascii="Helvetica" w:hAnsi="Helvetica" w:cs="Helvetica"/>
          <w:b/>
          <w:bCs/>
        </w:rPr>
      </w:pPr>
    </w:p>
    <w:p w14:paraId="54D6BB61" w14:textId="138F7957" w:rsidR="00DD3C2C" w:rsidRPr="00267A7A" w:rsidRDefault="00DD3C2C" w:rsidP="00DD3C2C">
      <w:pPr>
        <w:contextualSpacing/>
        <w:jc w:val="center"/>
        <w:rPr>
          <w:rFonts w:ascii="Helvetica" w:hAnsi="Helvetica" w:cs="Helvetica"/>
          <w:b/>
          <w:bCs/>
        </w:rPr>
      </w:pPr>
      <w:r w:rsidRPr="00267A7A">
        <w:rPr>
          <w:rFonts w:ascii="Helvetica" w:hAnsi="Helvetica" w:cs="Helvetica"/>
          <w:b/>
          <w:bCs/>
        </w:rPr>
        <w:t xml:space="preserve">Immunization Compliance Procedures for </w:t>
      </w:r>
      <w:r w:rsidR="00832798" w:rsidRPr="00267A7A">
        <w:rPr>
          <w:rFonts w:ascii="Helvetica" w:hAnsi="Helvetica" w:cs="Helvetica"/>
          <w:b/>
          <w:bCs/>
        </w:rPr>
        <w:t>S</w:t>
      </w:r>
      <w:r w:rsidRPr="00267A7A">
        <w:rPr>
          <w:rFonts w:ascii="Helvetica" w:hAnsi="Helvetica" w:cs="Helvetica"/>
          <w:b/>
          <w:bCs/>
        </w:rPr>
        <w:t>tudents</w:t>
      </w:r>
    </w:p>
    <w:p w14:paraId="7DC326D3" w14:textId="666F2681" w:rsidR="00194595" w:rsidRPr="00267A7A" w:rsidRDefault="005D458A" w:rsidP="00194595">
      <w:pPr>
        <w:contextualSpacing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Effective </w:t>
      </w:r>
      <w:r w:rsidR="00DD3C2C" w:rsidRPr="00267A7A">
        <w:rPr>
          <w:rFonts w:ascii="Helvetica" w:hAnsi="Helvetica" w:cs="Helvetica"/>
          <w:b/>
          <w:bCs/>
        </w:rPr>
        <w:t>July 2023</w:t>
      </w:r>
    </w:p>
    <w:p w14:paraId="31725704" w14:textId="77777777" w:rsidR="00DD3C2C" w:rsidRDefault="00DD3C2C" w:rsidP="00194595">
      <w:pPr>
        <w:jc w:val="center"/>
        <w:rPr>
          <w:rFonts w:ascii="Helvetica" w:hAnsi="Helvetica" w:cs="Helvetica"/>
        </w:rPr>
      </w:pPr>
    </w:p>
    <w:p w14:paraId="36CC2C3F" w14:textId="18717858" w:rsidR="00832798" w:rsidRDefault="00D41888" w:rsidP="00D41888">
      <w:pPr>
        <w:rPr>
          <w:rFonts w:ascii="Helvetica" w:hAnsi="Helvetica" w:cs="Helvetica"/>
        </w:rPr>
      </w:pPr>
      <w:r w:rsidRPr="00D41888">
        <w:rPr>
          <w:rFonts w:ascii="Helvetica" w:hAnsi="Helvetica" w:cs="Helvetica"/>
        </w:rPr>
        <w:t xml:space="preserve">Xavier partners with numerous institutions to provide our students with comprehensive and fulfilling </w:t>
      </w:r>
      <w:r w:rsidR="00832798">
        <w:rPr>
          <w:rFonts w:ascii="Helvetica" w:hAnsi="Helvetica" w:cs="Helvetica"/>
        </w:rPr>
        <w:t xml:space="preserve">academic </w:t>
      </w:r>
      <w:r w:rsidRPr="00D41888">
        <w:rPr>
          <w:rFonts w:ascii="Helvetica" w:hAnsi="Helvetica" w:cs="Helvetica"/>
        </w:rPr>
        <w:t xml:space="preserve">experiences. Xavier’s partner institutions </w:t>
      </w:r>
      <w:r w:rsidR="00832798">
        <w:rPr>
          <w:rFonts w:ascii="Helvetica" w:hAnsi="Helvetica" w:cs="Helvetica"/>
        </w:rPr>
        <w:t xml:space="preserve">may </w:t>
      </w:r>
      <w:r w:rsidRPr="00D41888">
        <w:rPr>
          <w:rFonts w:ascii="Helvetica" w:hAnsi="Helvetica" w:cs="Helvetica"/>
        </w:rPr>
        <w:t>require immunizations and vaccinations</w:t>
      </w:r>
      <w:r w:rsidR="00832798">
        <w:rPr>
          <w:rFonts w:ascii="Helvetica" w:hAnsi="Helvetica" w:cs="Helvetica"/>
        </w:rPr>
        <w:t xml:space="preserve"> in addition to those required for all Xavier students. External partner institutions reserve the right to require these immunizations as a condition of accepting Xavier </w:t>
      </w:r>
      <w:r w:rsidRPr="00D41888">
        <w:rPr>
          <w:rFonts w:ascii="Helvetica" w:hAnsi="Helvetica" w:cs="Helvetica"/>
        </w:rPr>
        <w:t xml:space="preserve">students </w:t>
      </w:r>
      <w:r w:rsidR="00832798">
        <w:rPr>
          <w:rFonts w:ascii="Helvetica" w:hAnsi="Helvetica" w:cs="Helvetica"/>
        </w:rPr>
        <w:t xml:space="preserve">to engage </w:t>
      </w:r>
      <w:r w:rsidRPr="00D41888">
        <w:rPr>
          <w:rFonts w:ascii="Helvetica" w:hAnsi="Helvetica" w:cs="Helvetica"/>
        </w:rPr>
        <w:t>at their clinical settings sites</w:t>
      </w:r>
      <w:r w:rsidR="00194595">
        <w:rPr>
          <w:rFonts w:ascii="Helvetica" w:hAnsi="Helvetica" w:cs="Helvetica"/>
        </w:rPr>
        <w:t xml:space="preserve">, </w:t>
      </w:r>
      <w:r w:rsidR="00832798">
        <w:rPr>
          <w:rFonts w:ascii="Helvetica" w:hAnsi="Helvetica" w:cs="Helvetica"/>
        </w:rPr>
        <w:t>including but not limited to</w:t>
      </w:r>
      <w:r w:rsidRPr="00D41888">
        <w:rPr>
          <w:rFonts w:ascii="Helvetica" w:hAnsi="Helvetica" w:cs="Helvetica"/>
        </w:rPr>
        <w:t xml:space="preserve"> clinical work and field experiences. Students may seek an exemption to </w:t>
      </w:r>
      <w:r w:rsidR="00832798">
        <w:rPr>
          <w:rFonts w:ascii="Helvetica" w:hAnsi="Helvetica" w:cs="Helvetica"/>
        </w:rPr>
        <w:t xml:space="preserve">any </w:t>
      </w:r>
      <w:r w:rsidR="00194595">
        <w:rPr>
          <w:rFonts w:ascii="Helvetica" w:hAnsi="Helvetica" w:cs="Helvetica"/>
        </w:rPr>
        <w:t>required immunization and vaccination</w:t>
      </w:r>
      <w:r w:rsidR="00832798">
        <w:rPr>
          <w:rFonts w:ascii="Helvetica" w:hAnsi="Helvetica" w:cs="Helvetica"/>
        </w:rPr>
        <w:t xml:space="preserve"> as a condition of their enrollment and/or academic progress. Exemptions may be requested </w:t>
      </w:r>
      <w:r w:rsidR="00520330">
        <w:rPr>
          <w:rFonts w:ascii="Helvetica" w:hAnsi="Helvetica" w:cs="Helvetica"/>
        </w:rPr>
        <w:t xml:space="preserve">for medical or religious reasons.  </w:t>
      </w:r>
    </w:p>
    <w:p w14:paraId="0BBCD637" w14:textId="77777777" w:rsidR="00935F84" w:rsidRDefault="00832798" w:rsidP="00D41888">
      <w:pPr>
        <w:spacing w:before="100" w:beforeAutospacing="1" w:after="100" w:afterAutospacing="1" w:line="240" w:lineRule="auto"/>
        <w:outlineLvl w:val="1"/>
        <w:rPr>
          <w:rFonts w:ascii="Helvetica" w:hAnsi="Helvetica" w:cs="Helvetica"/>
        </w:rPr>
      </w:pPr>
      <w:r>
        <w:rPr>
          <w:rFonts w:ascii="Helvetica" w:hAnsi="Helvetica" w:cs="Helvetica"/>
        </w:rPr>
        <w:t>In the event that Xavier approves an exemption request, s</w:t>
      </w:r>
      <w:r w:rsidR="00520330">
        <w:rPr>
          <w:rFonts w:ascii="Helvetica" w:hAnsi="Helvetica" w:cs="Helvetica"/>
        </w:rPr>
        <w:t xml:space="preserve">tudents </w:t>
      </w:r>
      <w:r w:rsidR="00D41888" w:rsidRPr="00D41888">
        <w:rPr>
          <w:rFonts w:ascii="Helvetica" w:hAnsi="Helvetica" w:cs="Helvetica"/>
        </w:rPr>
        <w:t xml:space="preserve">must be aware that </w:t>
      </w:r>
      <w:r w:rsidR="00627252">
        <w:rPr>
          <w:rFonts w:ascii="Helvetica" w:hAnsi="Helvetica" w:cs="Helvetica"/>
        </w:rPr>
        <w:t xml:space="preserve">external </w:t>
      </w:r>
      <w:r w:rsidR="00D41888" w:rsidRPr="00D41888">
        <w:rPr>
          <w:rFonts w:ascii="Helvetica" w:hAnsi="Helvetica" w:cs="Helvetica"/>
        </w:rPr>
        <w:t xml:space="preserve">partner institutions may not recognize the immunization exemption. In such circumstances, Xavier will take reasonable steps to find an alternative </w:t>
      </w:r>
      <w:r w:rsidR="00627252">
        <w:rPr>
          <w:rFonts w:ascii="Helvetica" w:hAnsi="Helvetica" w:cs="Helvetica"/>
        </w:rPr>
        <w:t>external</w:t>
      </w:r>
      <w:r w:rsidR="00D41888" w:rsidRPr="00D41888">
        <w:rPr>
          <w:rFonts w:ascii="Helvetica" w:hAnsi="Helvetica" w:cs="Helvetica"/>
        </w:rPr>
        <w:t xml:space="preserve"> placement but cannot guarantee that such a placement will exist for each </w:t>
      </w:r>
      <w:r w:rsidR="00627252">
        <w:rPr>
          <w:rFonts w:ascii="Helvetica" w:hAnsi="Helvetica" w:cs="Helvetica"/>
        </w:rPr>
        <w:t>external</w:t>
      </w:r>
      <w:r w:rsidR="00627252" w:rsidRPr="00D41888">
        <w:rPr>
          <w:rFonts w:ascii="Helvetica" w:hAnsi="Helvetica" w:cs="Helvetica"/>
        </w:rPr>
        <w:t xml:space="preserve"> </w:t>
      </w:r>
      <w:r w:rsidR="00D41888" w:rsidRPr="00D41888">
        <w:rPr>
          <w:rFonts w:ascii="Helvetica" w:hAnsi="Helvetica" w:cs="Helvetica"/>
        </w:rPr>
        <w:t xml:space="preserve">setting. Further, an exemption may result in a student’s inability to complete the program in the required timely manner and/or become eligible to sit for the national certification exam, and/or preclude employment at some sites upon graduation. </w:t>
      </w:r>
    </w:p>
    <w:p w14:paraId="501D5F14" w14:textId="1735F320" w:rsidR="00D41888" w:rsidRPr="00D41888" w:rsidRDefault="00D41888" w:rsidP="00D4188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C2340"/>
        </w:rPr>
      </w:pPr>
      <w:r w:rsidRPr="00D41888">
        <w:rPr>
          <w:rFonts w:ascii="Helvetica" w:eastAsia="Times New Roman" w:hAnsi="Helvetica" w:cs="Helvetica"/>
          <w:b/>
          <w:bCs/>
          <w:color w:val="0C2340"/>
        </w:rPr>
        <w:t>Providing Evidence of Vaccinations</w:t>
      </w:r>
    </w:p>
    <w:p w14:paraId="41D3A2A0" w14:textId="124A208F" w:rsidR="00D41888" w:rsidRP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 xml:space="preserve">All </w:t>
      </w:r>
      <w:r w:rsidR="004C6808">
        <w:rPr>
          <w:rFonts w:ascii="Helvetica" w:eastAsia="Times New Roman" w:hAnsi="Helvetica" w:cs="Helvetica"/>
          <w:color w:val="222222"/>
        </w:rPr>
        <w:t xml:space="preserve">full-time undergraduate and all international </w:t>
      </w:r>
      <w:r w:rsidRPr="00D41888">
        <w:rPr>
          <w:rFonts w:ascii="Helvetica" w:eastAsia="Times New Roman" w:hAnsi="Helvetica" w:cs="Helvetica"/>
          <w:color w:val="222222"/>
        </w:rPr>
        <w:t xml:space="preserve">incoming students </w:t>
      </w:r>
      <w:r>
        <w:rPr>
          <w:rFonts w:ascii="Helvetica" w:eastAsia="Times New Roman" w:hAnsi="Helvetica" w:cs="Helvetica"/>
          <w:color w:val="222222"/>
        </w:rPr>
        <w:t>must</w:t>
      </w:r>
      <w:r w:rsidRPr="00D41888">
        <w:rPr>
          <w:rFonts w:ascii="Helvetica" w:eastAsia="Times New Roman" w:hAnsi="Helvetica" w:cs="Helvetica"/>
          <w:color w:val="222222"/>
        </w:rPr>
        <w:t xml:space="preserve"> provide evidence of </w:t>
      </w:r>
      <w:r w:rsidR="00832798">
        <w:rPr>
          <w:rFonts w:ascii="Helvetica" w:eastAsia="Times New Roman" w:hAnsi="Helvetica" w:cs="Helvetica"/>
          <w:color w:val="222222"/>
        </w:rPr>
        <w:t xml:space="preserve">all University required </w:t>
      </w:r>
      <w:r w:rsidRPr="00D41888">
        <w:rPr>
          <w:rFonts w:ascii="Helvetica" w:eastAsia="Times New Roman" w:hAnsi="Helvetica" w:cs="Helvetica"/>
          <w:color w:val="222222"/>
        </w:rPr>
        <w:t>vaccinations</w:t>
      </w:r>
      <w:r w:rsidR="00832798">
        <w:rPr>
          <w:rFonts w:ascii="Helvetica" w:eastAsia="Times New Roman" w:hAnsi="Helvetica" w:cs="Helvetica"/>
          <w:color w:val="222222"/>
        </w:rPr>
        <w:t xml:space="preserve"> (</w:t>
      </w:r>
      <w:hyperlink r:id="rId7" w:history="1">
        <w:r w:rsidR="004C6808" w:rsidRPr="004C6808">
          <w:rPr>
            <w:rStyle w:val="Hyperlink"/>
            <w:rFonts w:ascii="Helvetica" w:eastAsia="Times New Roman" w:hAnsi="Helvetica" w:cs="Helvetica"/>
          </w:rPr>
          <w:t>click here for additional information</w:t>
        </w:r>
      </w:hyperlink>
      <w:r w:rsidR="00832798">
        <w:rPr>
          <w:rFonts w:ascii="Helvetica" w:eastAsia="Times New Roman" w:hAnsi="Helvetica" w:cs="Helvetica"/>
          <w:color w:val="222222"/>
        </w:rPr>
        <w:t>)</w:t>
      </w:r>
      <w:r w:rsidRPr="00D41888">
        <w:rPr>
          <w:rFonts w:ascii="Helvetica" w:eastAsia="Times New Roman" w:hAnsi="Helvetica" w:cs="Helvetica"/>
          <w:color w:val="222222"/>
        </w:rPr>
        <w:t>or have an approved exemption on file through the platform at </w:t>
      </w:r>
      <w:hyperlink r:id="rId8" w:history="1">
        <w:r w:rsidRPr="00D41888">
          <w:rPr>
            <w:rFonts w:ascii="Helvetica" w:eastAsia="Times New Roman" w:hAnsi="Helvetica" w:cs="Helvetica"/>
            <w:color w:val="0033A0"/>
            <w:u w:val="single"/>
          </w:rPr>
          <w:t>Med+Proctor</w:t>
        </w:r>
      </w:hyperlink>
      <w:r w:rsidRPr="00D41888">
        <w:rPr>
          <w:rFonts w:ascii="Helvetica" w:eastAsia="Times New Roman" w:hAnsi="Helvetica" w:cs="Helvetica"/>
          <w:color w:val="222222"/>
        </w:rPr>
        <w:t>. </w:t>
      </w:r>
      <w:r w:rsidRPr="00D41888">
        <w:rPr>
          <w:rFonts w:ascii="Helvetica" w:eastAsia="Times New Roman" w:hAnsi="Helvetica" w:cs="Helvetica"/>
          <w:i/>
          <w:iCs/>
          <w:color w:val="222222"/>
        </w:rPr>
        <w:t>There is no charge for this service,</w:t>
      </w:r>
      <w:r w:rsidRPr="00D41888">
        <w:rPr>
          <w:rFonts w:ascii="Helvetica" w:eastAsia="Times New Roman" w:hAnsi="Helvetica" w:cs="Helvetica"/>
          <w:color w:val="222222"/>
        </w:rPr>
        <w:t xml:space="preserve"> though you </w:t>
      </w:r>
      <w:r>
        <w:rPr>
          <w:rFonts w:ascii="Helvetica" w:eastAsia="Times New Roman" w:hAnsi="Helvetica" w:cs="Helvetica"/>
          <w:color w:val="222222"/>
        </w:rPr>
        <w:t>can</w:t>
      </w:r>
      <w:r w:rsidRPr="00D41888">
        <w:rPr>
          <w:rFonts w:ascii="Helvetica" w:eastAsia="Times New Roman" w:hAnsi="Helvetica" w:cs="Helvetica"/>
          <w:color w:val="222222"/>
        </w:rPr>
        <w:t xml:space="preserve"> purchase a membership that will provide lifetime access to your immunization data that can be shared with others as you designate.</w:t>
      </w:r>
      <w:r w:rsidRPr="00D41888">
        <w:rPr>
          <w:rFonts w:ascii="Helvetica" w:eastAsia="Times New Roman" w:hAnsi="Helvetica" w:cs="Helvetica"/>
          <w:color w:val="222222"/>
        </w:rPr>
        <w:br/>
      </w:r>
      <w:r w:rsidRPr="00D41888">
        <w:rPr>
          <w:rFonts w:ascii="Helvetica" w:eastAsia="Times New Roman" w:hAnsi="Helvetica" w:cs="Helvetica"/>
          <w:noProof/>
          <w:color w:val="222222"/>
        </w:rPr>
        <w:drawing>
          <wp:inline distT="0" distB="0" distL="0" distR="0" wp14:anchorId="2DFCA39C" wp14:editId="7AD30FBD">
            <wp:extent cx="3232895" cy="7493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81" cy="7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B947" w14:textId="77777777" w:rsidR="00D41888" w:rsidRPr="00D41888" w:rsidRDefault="00D41888" w:rsidP="00D41888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D41888">
        <w:rPr>
          <w:rFonts w:ascii="Helvetica" w:eastAsia="Times New Roman" w:hAnsi="Helvetica" w:cs="Helvetica"/>
          <w:b/>
          <w:bCs/>
          <w:color w:val="000000"/>
        </w:rPr>
        <w:t>Step One: Register</w:t>
      </w:r>
    </w:p>
    <w:p w14:paraId="3C5ABAE0" w14:textId="77777777" w:rsidR="00D41888" w:rsidRP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>Visit Med+Proctor and select </w:t>
      </w:r>
      <w:r w:rsidRPr="00D41888">
        <w:rPr>
          <w:rFonts w:ascii="Helvetica" w:eastAsia="Times New Roman" w:hAnsi="Helvetica" w:cs="Helvetica"/>
          <w:i/>
          <w:iCs/>
          <w:color w:val="222222"/>
        </w:rPr>
        <w:t>register</w:t>
      </w:r>
      <w:r w:rsidRPr="00D41888">
        <w:rPr>
          <w:rFonts w:ascii="Helvetica" w:eastAsia="Times New Roman" w:hAnsi="Helvetica" w:cs="Helvetica"/>
          <w:color w:val="222222"/>
        </w:rPr>
        <w:t> to start a new account. Type in your Xavier University email address to get started, and follow the directions to complete your profile.</w:t>
      </w:r>
    </w:p>
    <w:p w14:paraId="7FBFF45E" w14:textId="77777777" w:rsidR="00D41888" w:rsidRPr="00D41888" w:rsidRDefault="00D41888" w:rsidP="00D41888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D41888">
        <w:rPr>
          <w:rFonts w:ascii="Helvetica" w:eastAsia="Times New Roman" w:hAnsi="Helvetica" w:cs="Helvetica"/>
          <w:b/>
          <w:bCs/>
          <w:color w:val="000000"/>
        </w:rPr>
        <w:t>Step Two: Download</w:t>
      </w:r>
    </w:p>
    <w:p w14:paraId="020EC7EB" w14:textId="38FAB0E2" w:rsidR="00D41888" w:rsidRP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>Fill out any required personal or medical information. Download the required forms and follow the directions provided. If you are uploading a certified copy of immunization records (and not using the form provided by Med+Proctor), please be sure that the record has your provider's office stamp on it</w:t>
      </w:r>
      <w:r>
        <w:rPr>
          <w:rFonts w:ascii="Helvetica" w:eastAsia="Times New Roman" w:hAnsi="Helvetica" w:cs="Helvetica"/>
          <w:color w:val="222222"/>
        </w:rPr>
        <w:t xml:space="preserve"> and</w:t>
      </w:r>
      <w:r w:rsidRPr="00D41888">
        <w:rPr>
          <w:rFonts w:ascii="Helvetica" w:eastAsia="Times New Roman" w:hAnsi="Helvetica" w:cs="Helvetica"/>
          <w:color w:val="222222"/>
        </w:rPr>
        <w:t xml:space="preserve"> the provider's signature or signature of the office designee.</w:t>
      </w:r>
    </w:p>
    <w:p w14:paraId="0C1828F6" w14:textId="77777777" w:rsidR="00D41888" w:rsidRPr="00D41888" w:rsidRDefault="00D41888" w:rsidP="00D41888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D41888">
        <w:rPr>
          <w:rFonts w:ascii="Helvetica" w:eastAsia="Times New Roman" w:hAnsi="Helvetica" w:cs="Helvetica"/>
          <w:b/>
          <w:bCs/>
          <w:color w:val="000000"/>
        </w:rPr>
        <w:t>Step Three: Upload</w:t>
      </w:r>
    </w:p>
    <w:p w14:paraId="15E82DC1" w14:textId="77777777" w:rsidR="00D41888" w:rsidRP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>Log back into your MedProctor account and upload a copy of your forms. Make sure your forms are complete and legible. You will receive an email confirmation once the forms have been reviewed.</w:t>
      </w:r>
    </w:p>
    <w:p w14:paraId="072FFB0E" w14:textId="77777777" w:rsidR="00D41888" w:rsidRPr="00D41888" w:rsidRDefault="00D41888" w:rsidP="00D41888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D41888">
        <w:rPr>
          <w:rFonts w:ascii="Helvetica" w:eastAsia="Times New Roman" w:hAnsi="Helvetica" w:cs="Helvetica"/>
          <w:b/>
          <w:bCs/>
          <w:color w:val="000000"/>
        </w:rPr>
        <w:t>Questions and Support</w:t>
      </w:r>
    </w:p>
    <w:p w14:paraId="357420B6" w14:textId="77777777" w:rsidR="00194595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 xml:space="preserve">If you have difficulty using MedProctor, you may contact MedProctor between 8 a.m. and 5 p.m. Monday through Friday. During these hours, you can </w:t>
      </w:r>
      <w:r>
        <w:rPr>
          <w:rFonts w:ascii="Helvetica" w:eastAsia="Times New Roman" w:hAnsi="Helvetica" w:cs="Helvetica"/>
          <w:color w:val="222222"/>
        </w:rPr>
        <w:t>live chat</w:t>
      </w:r>
      <w:r w:rsidRPr="00D41888">
        <w:rPr>
          <w:rFonts w:ascii="Helvetica" w:eastAsia="Times New Roman" w:hAnsi="Helvetica" w:cs="Helvetica"/>
          <w:color w:val="222222"/>
        </w:rPr>
        <w:t xml:space="preserve"> with their support agents directly from their </w:t>
      </w:r>
      <w:hyperlink r:id="rId10" w:history="1">
        <w:r w:rsidRPr="00D41888">
          <w:rPr>
            <w:rFonts w:ascii="Helvetica" w:eastAsia="Times New Roman" w:hAnsi="Helvetica" w:cs="Helvetica"/>
            <w:color w:val="073950"/>
            <w:u w:val="single"/>
          </w:rPr>
          <w:t>support site</w:t>
        </w:r>
      </w:hyperlink>
      <w:r w:rsidRPr="00D41888">
        <w:rPr>
          <w:rFonts w:ascii="Helvetica" w:eastAsia="Times New Roman" w:hAnsi="Helvetica" w:cs="Helvetica"/>
          <w:color w:val="222222"/>
        </w:rPr>
        <w:t> or while you are completing your student workflow. This feature is located at the bottom right of the screen on either Med+Proctor site.</w:t>
      </w:r>
      <w:r w:rsidRPr="00D41888">
        <w:rPr>
          <w:rFonts w:ascii="Helvetica" w:eastAsia="Times New Roman" w:hAnsi="Helvetica" w:cs="Helvetica"/>
          <w:color w:val="222222"/>
        </w:rPr>
        <w:br/>
      </w:r>
      <w:r w:rsidRPr="00D41888">
        <w:rPr>
          <w:rFonts w:ascii="Helvetica" w:eastAsia="Times New Roman" w:hAnsi="Helvetica" w:cs="Helvetica"/>
          <w:color w:val="222222"/>
        </w:rPr>
        <w:lastRenderedPageBreak/>
        <w:br/>
      </w:r>
    </w:p>
    <w:p w14:paraId="56BF0A49" w14:textId="2284837A" w:rsidR="00D41888" w:rsidRP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>You may also email </w:t>
      </w:r>
      <w:hyperlink r:id="rId11" w:history="1">
        <w:r w:rsidRPr="00D41888">
          <w:rPr>
            <w:rFonts w:ascii="Helvetica" w:eastAsia="Times New Roman" w:hAnsi="Helvetica" w:cs="Helvetica"/>
            <w:color w:val="073950"/>
            <w:u w:val="single"/>
          </w:rPr>
          <w:t>help@medproctor.com</w:t>
        </w:r>
      </w:hyperlink>
      <w:r w:rsidRPr="00D41888">
        <w:rPr>
          <w:rFonts w:ascii="Helvetica" w:eastAsia="Times New Roman" w:hAnsi="Helvetica" w:cs="Helvetica"/>
          <w:color w:val="222222"/>
        </w:rPr>
        <w:t> with your issue, and this will create a ticket for their support agents to take care of you.</w:t>
      </w:r>
    </w:p>
    <w:p w14:paraId="79FA6B92" w14:textId="77777777" w:rsidR="00D41888" w:rsidRPr="00D41888" w:rsidRDefault="00D41888" w:rsidP="00D41888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D41888">
        <w:rPr>
          <w:rFonts w:ascii="Helvetica" w:eastAsia="Times New Roman" w:hAnsi="Helvetica" w:cs="Helvetica"/>
          <w:b/>
          <w:bCs/>
          <w:color w:val="000000"/>
        </w:rPr>
        <w:t>Risks and Benefits of Immunizations</w:t>
      </w:r>
    </w:p>
    <w:p w14:paraId="16FDA87E" w14:textId="77777777" w:rsidR="00D41888" w:rsidRPr="00D41888" w:rsidRDefault="00D41888" w:rsidP="00D41888">
      <w:pPr>
        <w:spacing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D41888">
        <w:rPr>
          <w:rFonts w:ascii="Helvetica" w:eastAsia="Times New Roman" w:hAnsi="Helvetica" w:cs="Helvetica"/>
          <w:color w:val="222222"/>
        </w:rPr>
        <w:t>Visit the </w:t>
      </w:r>
      <w:hyperlink r:id="rId12" w:history="1">
        <w:r w:rsidRPr="00D41888">
          <w:rPr>
            <w:rFonts w:ascii="Helvetica" w:eastAsia="Times New Roman" w:hAnsi="Helvetica" w:cs="Helvetica"/>
            <w:color w:val="073950"/>
            <w:u w:val="single"/>
          </w:rPr>
          <w:t>Center for Disease Control's Vaccine Safety page</w:t>
        </w:r>
      </w:hyperlink>
      <w:r w:rsidRPr="00D41888">
        <w:rPr>
          <w:rFonts w:ascii="Helvetica" w:eastAsia="Times New Roman" w:hAnsi="Helvetica" w:cs="Helvetica"/>
          <w:color w:val="000000"/>
        </w:rPr>
        <w:t> </w:t>
      </w:r>
      <w:r w:rsidRPr="00D41888">
        <w:rPr>
          <w:rFonts w:ascii="Helvetica" w:eastAsia="Times New Roman" w:hAnsi="Helvetica" w:cs="Helvetica"/>
          <w:color w:val="222222"/>
        </w:rPr>
        <w:t>for information about immunization safety, benefits, and risks. </w:t>
      </w:r>
      <w:r w:rsidRPr="00D41888">
        <w:rPr>
          <w:rFonts w:ascii="Helvetica" w:eastAsia="Times New Roman" w:hAnsi="Helvetica" w:cs="Helvetica"/>
          <w:color w:val="000000"/>
        </w:rPr>
        <w:t> </w:t>
      </w:r>
    </w:p>
    <w:p w14:paraId="0FED619D" w14:textId="77777777" w:rsidR="004C6808" w:rsidRDefault="004C6808" w:rsidP="004C6808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22222"/>
        </w:rPr>
      </w:pPr>
      <w:r w:rsidRPr="00626ED1">
        <w:rPr>
          <w:rFonts w:ascii="Helvetica" w:eastAsia="Times New Roman" w:hAnsi="Helvetica" w:cs="Helvetica"/>
          <w:b/>
          <w:bCs/>
          <w:color w:val="222222"/>
        </w:rPr>
        <w:t>Requesting an exemption to Immunization requirements</w:t>
      </w:r>
    </w:p>
    <w:p w14:paraId="36BDFFB2" w14:textId="77777777" w:rsidR="004C6808" w:rsidRDefault="004C6808" w:rsidP="004C6808">
      <w:pPr>
        <w:pStyle w:val="BodyText"/>
        <w:spacing w:before="1"/>
        <w:ind w:left="100" w:firstLine="0"/>
      </w:pPr>
      <w:r>
        <w:rPr>
          <w:color w:val="0B223F"/>
        </w:rPr>
        <w:t>MEDICAL EXEMPTION REQUESTS</w:t>
      </w:r>
    </w:p>
    <w:p w14:paraId="320728AE" w14:textId="77777777" w:rsidR="004C6808" w:rsidRDefault="004C6808" w:rsidP="004C6808">
      <w:pPr>
        <w:pStyle w:val="BodyText"/>
        <w:spacing w:before="4"/>
        <w:ind w:left="0" w:firstLine="0"/>
        <w:rPr>
          <w:sz w:val="22"/>
        </w:rPr>
      </w:pPr>
    </w:p>
    <w:p w14:paraId="57B06CF5" w14:textId="1DEC97AD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ind w:right="287"/>
        <w:rPr>
          <w:rFonts w:ascii="Symbol" w:hAnsi="Symbol"/>
          <w:sz w:val="20"/>
        </w:rPr>
      </w:pPr>
      <w:r>
        <w:rPr>
          <w:sz w:val="24"/>
        </w:rPr>
        <w:t xml:space="preserve">If a student </w:t>
      </w:r>
      <w:r w:rsidR="00194595">
        <w:rPr>
          <w:sz w:val="24"/>
        </w:rPr>
        <w:t>cannot</w:t>
      </w:r>
      <w:r>
        <w:rPr>
          <w:sz w:val="24"/>
        </w:rPr>
        <w:t xml:space="preserve"> meet the immunization requirements </w:t>
      </w:r>
      <w:r w:rsidR="00194595">
        <w:rPr>
          <w:sz w:val="24"/>
        </w:rPr>
        <w:t>for</w:t>
      </w:r>
      <w:r>
        <w:rPr>
          <w:sz w:val="24"/>
        </w:rPr>
        <w:t xml:space="preserve"> qualifying medical reasons, the student must complete a Medical Exemption Request Form. The signature of a medical provider </w:t>
      </w:r>
      <w:r w:rsidR="00194595">
        <w:rPr>
          <w:sz w:val="24"/>
        </w:rPr>
        <w:t>with</w:t>
      </w:r>
      <w:r>
        <w:rPr>
          <w:sz w:val="24"/>
        </w:rPr>
        <w:t xml:space="preserve"> one of the following credentials is required: MD, DO, Nurse Practitioner, or Physician Assistant. The request form is available through the </w:t>
      </w:r>
      <w:r>
        <w:rPr>
          <w:color w:val="007DB3"/>
          <w:sz w:val="24"/>
          <w:u w:val="single" w:color="007DB3"/>
        </w:rPr>
        <w:t>Med+Proctor website</w:t>
      </w:r>
      <w:r>
        <w:rPr>
          <w:sz w:val="24"/>
        </w:rPr>
        <w:t>. A student’s philosophical or ethical concerns regarding the vaccine will not meet this requirement.</w:t>
      </w:r>
    </w:p>
    <w:p w14:paraId="2650D35D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44"/>
        <w:rPr>
          <w:rFonts w:ascii="Symbol"/>
          <w:sz w:val="20"/>
        </w:rPr>
      </w:pPr>
      <w:r>
        <w:rPr>
          <w:sz w:val="24"/>
        </w:rPr>
        <w:t>To request a medical exemption from any vaccine requirement, students will need to complete the following steps:</w:t>
      </w:r>
    </w:p>
    <w:p w14:paraId="05C960E5" w14:textId="77777777" w:rsidR="004C6808" w:rsidRDefault="004C6808" w:rsidP="004C6808">
      <w:pPr>
        <w:pStyle w:val="ListParagraph"/>
        <w:numPr>
          <w:ilvl w:val="1"/>
          <w:numId w:val="3"/>
        </w:numPr>
        <w:tabs>
          <w:tab w:val="left" w:pos="1540"/>
        </w:tabs>
        <w:spacing w:before="4"/>
        <w:ind w:right="830"/>
        <w:rPr>
          <w:sz w:val="24"/>
        </w:rPr>
      </w:pPr>
      <w:r>
        <w:rPr>
          <w:sz w:val="24"/>
        </w:rPr>
        <w:t xml:space="preserve">Visit </w:t>
      </w:r>
      <w:r>
        <w:rPr>
          <w:color w:val="007DB3"/>
          <w:sz w:val="24"/>
          <w:u w:val="single" w:color="007DB3"/>
        </w:rPr>
        <w:t xml:space="preserve">Med+Proctor </w:t>
      </w:r>
      <w:r>
        <w:rPr>
          <w:sz w:val="24"/>
        </w:rPr>
        <w:t>and sign into your account or select "register" to create a new account and enter your Xavier University email address to create your profile.</w:t>
      </w:r>
    </w:p>
    <w:p w14:paraId="1996D6F5" w14:textId="77777777" w:rsidR="004C6808" w:rsidRDefault="004C6808" w:rsidP="004C6808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</w:rPr>
      </w:pPr>
      <w:r>
        <w:rPr>
          <w:sz w:val="24"/>
        </w:rPr>
        <w:t>Download the Medical Exemption Request Form from the “Documents” page.</w:t>
      </w:r>
    </w:p>
    <w:p w14:paraId="4AC13D76" w14:textId="71709AD7" w:rsidR="004C6808" w:rsidRDefault="004C6808" w:rsidP="004C6808">
      <w:pPr>
        <w:pStyle w:val="ListParagraph"/>
        <w:numPr>
          <w:ilvl w:val="1"/>
          <w:numId w:val="3"/>
        </w:numPr>
        <w:tabs>
          <w:tab w:val="left" w:pos="1540"/>
        </w:tabs>
        <w:rPr>
          <w:sz w:val="24"/>
        </w:rPr>
      </w:pPr>
      <w:r>
        <w:rPr>
          <w:sz w:val="24"/>
        </w:rPr>
        <w:t>Complete Section A with your student identification information, signature</w:t>
      </w:r>
      <w:r w:rsidR="00194595">
        <w:rPr>
          <w:sz w:val="24"/>
        </w:rPr>
        <w:t>,</w:t>
      </w:r>
      <w:r>
        <w:rPr>
          <w:sz w:val="24"/>
        </w:rPr>
        <w:t xml:space="preserve"> and date.</w:t>
      </w:r>
    </w:p>
    <w:p w14:paraId="725FA424" w14:textId="18837D6D" w:rsidR="004C6808" w:rsidRDefault="004C6808" w:rsidP="004C6808">
      <w:pPr>
        <w:pStyle w:val="ListParagraph"/>
        <w:numPr>
          <w:ilvl w:val="1"/>
          <w:numId w:val="3"/>
        </w:numPr>
        <w:tabs>
          <w:tab w:val="left" w:pos="1540"/>
        </w:tabs>
        <w:ind w:right="617"/>
        <w:rPr>
          <w:sz w:val="24"/>
        </w:rPr>
      </w:pPr>
      <w:r>
        <w:rPr>
          <w:sz w:val="24"/>
        </w:rPr>
        <w:t xml:space="preserve">Have Section B completed and signed by a health care provider </w:t>
      </w:r>
      <w:r w:rsidR="00194595">
        <w:rPr>
          <w:sz w:val="24"/>
        </w:rPr>
        <w:t>with</w:t>
      </w:r>
      <w:r>
        <w:rPr>
          <w:sz w:val="24"/>
        </w:rPr>
        <w:t xml:space="preserve"> one of the following credentials: MD, DO, Nurse Practitioner, or Physician </w:t>
      </w:r>
      <w:proofErr w:type="gramStart"/>
      <w:r>
        <w:rPr>
          <w:sz w:val="24"/>
        </w:rPr>
        <w:t>Assistant.</w:t>
      </w:r>
      <w:proofErr w:type="gramEnd"/>
    </w:p>
    <w:p w14:paraId="5A28F5D5" w14:textId="77777777" w:rsidR="004C6808" w:rsidRDefault="004C6808" w:rsidP="004C6808">
      <w:pPr>
        <w:pStyle w:val="ListParagraph"/>
        <w:numPr>
          <w:ilvl w:val="1"/>
          <w:numId w:val="3"/>
        </w:numPr>
        <w:tabs>
          <w:tab w:val="left" w:pos="1540"/>
        </w:tabs>
        <w:ind w:right="470"/>
        <w:rPr>
          <w:sz w:val="24"/>
        </w:rPr>
      </w:pPr>
      <w:r>
        <w:rPr>
          <w:sz w:val="24"/>
        </w:rPr>
        <w:t>Upload the completed and signed request form to the Med+Proctor site by selecting “Supporting Documentation” from the drop-down</w:t>
      </w:r>
      <w:r>
        <w:rPr>
          <w:spacing w:val="-4"/>
          <w:sz w:val="24"/>
        </w:rPr>
        <w:t xml:space="preserve"> </w:t>
      </w:r>
      <w:r>
        <w:rPr>
          <w:sz w:val="24"/>
        </w:rPr>
        <w:t>menu.</w:t>
      </w:r>
    </w:p>
    <w:p w14:paraId="706BD6D9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Symbol"/>
          <w:sz w:val="20"/>
        </w:rPr>
      </w:pPr>
      <w:r>
        <w:rPr>
          <w:sz w:val="24"/>
        </w:rPr>
        <w:t>The University will review and make a final decision regarding this request.</w:t>
      </w:r>
    </w:p>
    <w:p w14:paraId="741E474D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689"/>
        <w:rPr>
          <w:rFonts w:ascii="Symbol"/>
          <w:sz w:val="20"/>
        </w:rPr>
      </w:pPr>
      <w:r>
        <w:rPr>
          <w:sz w:val="24"/>
        </w:rPr>
        <w:t>Students will be notified in writing of the outcome of their vaccine medical exemption request. The University reserves the right to require further documentation to facilitate a response to this request.</w:t>
      </w:r>
    </w:p>
    <w:p w14:paraId="3FB805F8" w14:textId="77777777" w:rsidR="004C6808" w:rsidRDefault="004C6808" w:rsidP="004C6808">
      <w:pPr>
        <w:pStyle w:val="BodyText"/>
        <w:spacing w:before="3"/>
        <w:ind w:left="0" w:firstLine="0"/>
        <w:rPr>
          <w:sz w:val="23"/>
        </w:rPr>
      </w:pPr>
    </w:p>
    <w:p w14:paraId="11C9D636" w14:textId="77777777" w:rsidR="004C6808" w:rsidRDefault="004C6808" w:rsidP="004C6808">
      <w:pPr>
        <w:pStyle w:val="BodyText"/>
        <w:ind w:left="100" w:firstLine="0"/>
      </w:pPr>
      <w:r>
        <w:rPr>
          <w:color w:val="0B223F"/>
        </w:rPr>
        <w:t>RELIGIOUS EXEMPTION REQUESTS</w:t>
      </w:r>
    </w:p>
    <w:p w14:paraId="072B844D" w14:textId="77777777" w:rsidR="004C6808" w:rsidRDefault="004C6808" w:rsidP="004C6808">
      <w:pPr>
        <w:pStyle w:val="BodyText"/>
        <w:spacing w:before="9"/>
        <w:ind w:left="0" w:firstLine="0"/>
        <w:rPr>
          <w:sz w:val="22"/>
        </w:rPr>
      </w:pPr>
    </w:p>
    <w:p w14:paraId="2B7F37AB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323"/>
        <w:rPr>
          <w:rFonts w:ascii="Symbol"/>
          <w:sz w:val="20"/>
        </w:rPr>
      </w:pPr>
      <w:r>
        <w:rPr>
          <w:sz w:val="24"/>
        </w:rPr>
        <w:t>If a student is unable to meet the immunization requirements due to religious beliefs, the student must complete a Religious Exemption Request Form. The signature of a notary public</w:t>
      </w:r>
    </w:p>
    <w:p w14:paraId="4A876FB7" w14:textId="77777777" w:rsidR="004C6808" w:rsidRDefault="004C6808" w:rsidP="004C6808">
      <w:pPr>
        <w:rPr>
          <w:rFonts w:ascii="Symbol"/>
          <w:sz w:val="20"/>
        </w:rPr>
        <w:sectPr w:rsidR="004C6808">
          <w:headerReference w:type="default" r:id="rId13"/>
          <w:pgSz w:w="12240" w:h="15840"/>
          <w:pgMar w:top="1360" w:right="1020" w:bottom="280" w:left="980" w:header="0" w:footer="0" w:gutter="0"/>
          <w:cols w:space="720"/>
        </w:sectPr>
      </w:pPr>
    </w:p>
    <w:p w14:paraId="4E9EE1EE" w14:textId="77777777" w:rsidR="00194595" w:rsidRDefault="00194595" w:rsidP="004C6808">
      <w:pPr>
        <w:pStyle w:val="BodyText"/>
        <w:spacing w:before="82"/>
        <w:ind w:left="460" w:right="413" w:firstLine="0"/>
      </w:pPr>
    </w:p>
    <w:p w14:paraId="1614CE2C" w14:textId="77777777" w:rsidR="00194595" w:rsidRDefault="00194595" w:rsidP="004C6808">
      <w:pPr>
        <w:pStyle w:val="BodyText"/>
        <w:spacing w:before="82"/>
        <w:ind w:left="460" w:right="413" w:firstLine="0"/>
      </w:pPr>
    </w:p>
    <w:p w14:paraId="34550A87" w14:textId="77777777" w:rsidR="00194595" w:rsidRDefault="00194595" w:rsidP="004C6808">
      <w:pPr>
        <w:pStyle w:val="BodyText"/>
        <w:spacing w:before="82"/>
        <w:ind w:left="460" w:right="413" w:firstLine="0"/>
      </w:pPr>
    </w:p>
    <w:p w14:paraId="48D59C17" w14:textId="37362C7A" w:rsidR="004C6808" w:rsidRDefault="004C6808" w:rsidP="00194595">
      <w:pPr>
        <w:pStyle w:val="BodyText"/>
        <w:spacing w:before="82"/>
        <w:ind w:left="460" w:right="413" w:firstLine="0"/>
      </w:pPr>
      <w:r>
        <w:t xml:space="preserve">will be required on the request form, which is available through the </w:t>
      </w:r>
      <w:r>
        <w:rPr>
          <w:color w:val="007DB3"/>
          <w:u w:val="single" w:color="007DB3"/>
        </w:rPr>
        <w:t>Med+Proctor website</w:t>
      </w:r>
      <w:r>
        <w:t>. A student’s philosophical or ethical concerns regarding the vaccine will not meet this requirement.</w:t>
      </w:r>
    </w:p>
    <w:p w14:paraId="45D20BAD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0"/>
        <w:rPr>
          <w:rFonts w:ascii="Symbol"/>
          <w:sz w:val="20"/>
        </w:rPr>
      </w:pPr>
      <w:r>
        <w:rPr>
          <w:sz w:val="24"/>
        </w:rPr>
        <w:t>To request a religious exemption from any vaccine requirement, students will need to complete 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steps:</w:t>
      </w:r>
    </w:p>
    <w:p w14:paraId="2616C637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ind w:right="850"/>
        <w:rPr>
          <w:sz w:val="24"/>
        </w:rPr>
      </w:pPr>
      <w:r>
        <w:rPr>
          <w:sz w:val="24"/>
        </w:rPr>
        <w:t xml:space="preserve">Visit </w:t>
      </w:r>
      <w:r>
        <w:rPr>
          <w:color w:val="007DB3"/>
          <w:sz w:val="24"/>
          <w:u w:val="single" w:color="007DB3"/>
        </w:rPr>
        <w:t xml:space="preserve">Med+Proctor </w:t>
      </w:r>
      <w:r>
        <w:rPr>
          <w:sz w:val="24"/>
        </w:rPr>
        <w:t>and sign into your account or select "register" to create a new account and enter your Xavier University email address to create your profile.</w:t>
      </w:r>
    </w:p>
    <w:p w14:paraId="52BEE1B4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Download the Religious Exemption Request Form from the “Documents” page.</w:t>
      </w:r>
    </w:p>
    <w:p w14:paraId="7FE5994B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Complete Section A with your student identification information and date.</w:t>
      </w:r>
    </w:p>
    <w:p w14:paraId="2636C975" w14:textId="6ED941E5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ind w:right="364"/>
        <w:rPr>
          <w:sz w:val="24"/>
        </w:rPr>
      </w:pPr>
      <w:r>
        <w:rPr>
          <w:sz w:val="24"/>
        </w:rPr>
        <w:t xml:space="preserve">Complete Section B if requesting </w:t>
      </w:r>
      <w:r w:rsidR="00194595">
        <w:rPr>
          <w:sz w:val="24"/>
        </w:rPr>
        <w:t>an</w:t>
      </w:r>
      <w:r>
        <w:rPr>
          <w:sz w:val="24"/>
        </w:rPr>
        <w:t xml:space="preserve"> exemption by responding fully to each of the six questions provided. NOTE – answers to the questions must be provided in a separate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14:paraId="1EDB670C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ind w:right="206"/>
        <w:rPr>
          <w:sz w:val="24"/>
        </w:rPr>
      </w:pPr>
      <w:r>
        <w:rPr>
          <w:sz w:val="24"/>
        </w:rPr>
        <w:t>Have the completed Religious Exemption form signed by a Notary Public. NOTE – you will need to sign the form in Section A and at the bottom of the form in the presence of the Notary.</w:t>
      </w:r>
    </w:p>
    <w:p w14:paraId="620CED28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spacing w:line="244" w:lineRule="auto"/>
        <w:ind w:right="196"/>
        <w:rPr>
          <w:sz w:val="24"/>
        </w:rPr>
      </w:pPr>
      <w:r>
        <w:rPr>
          <w:sz w:val="24"/>
        </w:rPr>
        <w:t>Upload the completed and notarized request form to the Med+Proctor site by selecting “Supporting Documentation” from the drop-down</w:t>
      </w:r>
      <w:r>
        <w:rPr>
          <w:spacing w:val="-4"/>
          <w:sz w:val="24"/>
        </w:rPr>
        <w:t xml:space="preserve"> </w:t>
      </w:r>
      <w:r>
        <w:rPr>
          <w:sz w:val="24"/>
        </w:rPr>
        <w:t>menu.</w:t>
      </w:r>
    </w:p>
    <w:p w14:paraId="24F30168" w14:textId="77777777" w:rsidR="004C6808" w:rsidRDefault="004C6808" w:rsidP="004C6808">
      <w:pPr>
        <w:pStyle w:val="ListParagraph"/>
        <w:numPr>
          <w:ilvl w:val="0"/>
          <w:numId w:val="1"/>
        </w:numPr>
        <w:tabs>
          <w:tab w:val="left" w:pos="1540"/>
        </w:tabs>
        <w:ind w:right="178"/>
        <w:rPr>
          <w:sz w:val="24"/>
        </w:rPr>
      </w:pPr>
      <w:r>
        <w:rPr>
          <w:sz w:val="24"/>
        </w:rPr>
        <w:t>Upload the file with your responses to religious exemption questions to the Med+Proctor site by selecting “Supporting Documentation” from the drop-down</w:t>
      </w:r>
      <w:r>
        <w:rPr>
          <w:spacing w:val="-4"/>
          <w:sz w:val="24"/>
        </w:rPr>
        <w:t xml:space="preserve"> </w:t>
      </w:r>
      <w:r>
        <w:rPr>
          <w:sz w:val="24"/>
        </w:rPr>
        <w:t>menu.</w:t>
      </w:r>
    </w:p>
    <w:p w14:paraId="1989BF83" w14:textId="77777777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6"/>
        <w:rPr>
          <w:rFonts w:ascii="Symbol"/>
          <w:sz w:val="20"/>
        </w:rPr>
      </w:pPr>
      <w:r>
        <w:rPr>
          <w:sz w:val="24"/>
        </w:rPr>
        <w:t>The University will review and make a final decision regarding this</w:t>
      </w:r>
      <w:r>
        <w:rPr>
          <w:spacing w:val="-4"/>
          <w:sz w:val="24"/>
        </w:rPr>
        <w:t xml:space="preserve"> </w:t>
      </w:r>
      <w:r>
        <w:rPr>
          <w:sz w:val="24"/>
        </w:rPr>
        <w:t>request.</w:t>
      </w:r>
    </w:p>
    <w:p w14:paraId="5484B811" w14:textId="1FC1F0CB" w:rsidR="004C6808" w:rsidRDefault="004C6808" w:rsidP="004C6808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708"/>
        <w:rPr>
          <w:rFonts w:ascii="Symbol"/>
          <w:sz w:val="20"/>
        </w:rPr>
      </w:pPr>
      <w:r>
        <w:rPr>
          <w:sz w:val="24"/>
        </w:rPr>
        <w:t>Students will be notified in writing of the outcome of their religious exemption request. The University reserves the right to require further documentation to facilitate a response to this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2E951BF0" w14:textId="77777777" w:rsidR="004C6808" w:rsidRDefault="004C6808" w:rsidP="004C6808">
      <w:pPr>
        <w:pStyle w:val="BodyText"/>
        <w:spacing w:before="9"/>
        <w:ind w:left="0" w:firstLine="0"/>
        <w:rPr>
          <w:sz w:val="22"/>
        </w:rPr>
      </w:pPr>
    </w:p>
    <w:p w14:paraId="295D8295" w14:textId="1144678D" w:rsidR="004C6808" w:rsidRDefault="004C6808" w:rsidP="004C6808">
      <w:pPr>
        <w:pStyle w:val="BodyText"/>
        <w:ind w:left="100" w:right="275" w:firstLine="0"/>
      </w:pPr>
      <w:r>
        <w:t xml:space="preserve">More detailed information regarding the University’s vaccine requirement for students can be found at </w:t>
      </w:r>
      <w:r>
        <w:rPr>
          <w:color w:val="0000FF"/>
          <w:u w:val="single" w:color="0000FF"/>
        </w:rPr>
        <w:t>https://</w:t>
      </w:r>
      <w:hyperlink r:id="rId14">
        <w:r>
          <w:rPr>
            <w:color w:val="0000FF"/>
            <w:u w:val="single" w:color="0000FF"/>
          </w:rPr>
          <w:t xml:space="preserve">www.xavier.edu/health-wellness/health/immunizations </w:t>
        </w:r>
      </w:hyperlink>
      <w:r>
        <w:t xml:space="preserve">. Additional questions can be directed to </w:t>
      </w:r>
      <w:hyperlink r:id="rId15" w:history="1">
        <w:r w:rsidR="00194595" w:rsidRPr="00FA7051">
          <w:rPr>
            <w:rStyle w:val="Hyperlink"/>
          </w:rPr>
          <w:t>sullivanm25@xavier.edu</w:t>
        </w:r>
      </w:hyperlink>
      <w:r>
        <w:t>.</w:t>
      </w:r>
      <w:r w:rsidR="00194595">
        <w:t xml:space="preserve"> </w:t>
      </w:r>
      <w:r>
        <w:t xml:space="preserve"> </w:t>
      </w:r>
      <w:r w:rsidR="00194595">
        <w:t xml:space="preserve"> </w:t>
      </w:r>
    </w:p>
    <w:p w14:paraId="4953E4FB" w14:textId="77777777" w:rsidR="004C6808" w:rsidRDefault="004C680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</w:p>
    <w:p w14:paraId="1C35A558" w14:textId="4DCE290A" w:rsidR="00D41888" w:rsidRDefault="00D4188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  <w:r w:rsidRPr="00D41888">
        <w:rPr>
          <w:rFonts w:ascii="Helvetica" w:eastAsia="Times New Roman" w:hAnsi="Helvetica" w:cs="Helvetica"/>
          <w:color w:val="222222"/>
        </w:rPr>
        <w:t>For questions about immunization exemptions, please contact 513-745-3041</w:t>
      </w:r>
      <w:r w:rsidR="00194595">
        <w:rPr>
          <w:rFonts w:ascii="Helvetica" w:eastAsia="Times New Roman" w:hAnsi="Helvetica" w:cs="Helvetica"/>
          <w:color w:val="222222"/>
        </w:rPr>
        <w:t>.</w:t>
      </w:r>
    </w:p>
    <w:p w14:paraId="0A6B06A9" w14:textId="77777777" w:rsidR="004C6808" w:rsidRDefault="004C680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</w:p>
    <w:p w14:paraId="61CE5073" w14:textId="77777777" w:rsidR="004C6808" w:rsidRPr="00D41888" w:rsidRDefault="004C6808" w:rsidP="00D41888">
      <w:pPr>
        <w:spacing w:after="150" w:line="240" w:lineRule="auto"/>
        <w:rPr>
          <w:rFonts w:ascii="Helvetica" w:eastAsia="Times New Roman" w:hAnsi="Helvetica" w:cs="Helvetica"/>
          <w:color w:val="222222"/>
        </w:rPr>
      </w:pPr>
    </w:p>
    <w:p w14:paraId="6710527C" w14:textId="045E3AA6" w:rsidR="00273FC5" w:rsidRPr="00D41888" w:rsidRDefault="00273FC5" w:rsidP="00D41888">
      <w:pPr>
        <w:rPr>
          <w:rFonts w:ascii="Helvetica" w:hAnsi="Helvetica" w:cs="Helvetica"/>
        </w:rPr>
      </w:pPr>
    </w:p>
    <w:sectPr w:rsidR="00273FC5" w:rsidRPr="00D4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6BA4" w14:textId="77777777" w:rsidR="00F92573" w:rsidRDefault="00267A7A">
      <w:pPr>
        <w:spacing w:after="0" w:line="240" w:lineRule="auto"/>
      </w:pPr>
      <w:r>
        <w:separator/>
      </w:r>
    </w:p>
  </w:endnote>
  <w:endnote w:type="continuationSeparator" w:id="0">
    <w:p w14:paraId="718E4C26" w14:textId="77777777" w:rsidR="00F92573" w:rsidRDefault="002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0F10" w14:textId="77777777" w:rsidR="00F92573" w:rsidRDefault="00267A7A">
      <w:pPr>
        <w:spacing w:after="0" w:line="240" w:lineRule="auto"/>
      </w:pPr>
      <w:r>
        <w:separator/>
      </w:r>
    </w:p>
  </w:footnote>
  <w:footnote w:type="continuationSeparator" w:id="0">
    <w:p w14:paraId="19DB1215" w14:textId="77777777" w:rsidR="00F92573" w:rsidRDefault="0026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510B" w14:textId="5E2C8AF3" w:rsidR="004C6808" w:rsidRDefault="00194595">
    <w:pPr>
      <w:pStyle w:val="BodyText"/>
      <w:spacing w:line="14" w:lineRule="auto"/>
      <w:ind w:left="0" w:firstLine="0"/>
      <w:rPr>
        <w:sz w:val="2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1" locked="0" layoutInCell="1" allowOverlap="1" wp14:anchorId="6DDB80CA" wp14:editId="1CA6AF05">
          <wp:simplePos x="0" y="0"/>
          <wp:positionH relativeFrom="margin">
            <wp:align>left</wp:align>
          </wp:positionH>
          <wp:positionV relativeFrom="paragraph">
            <wp:posOffset>304800</wp:posOffset>
          </wp:positionV>
          <wp:extent cx="3219117" cy="555172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117" cy="55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991"/>
    <w:multiLevelType w:val="hybridMultilevel"/>
    <w:tmpl w:val="07688C80"/>
    <w:lvl w:ilvl="0" w:tplc="AB6E370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color w:val="002060"/>
        <w:spacing w:val="-1"/>
        <w:w w:val="100"/>
        <w:sz w:val="22"/>
        <w:szCs w:val="22"/>
      </w:rPr>
    </w:lvl>
    <w:lvl w:ilvl="1" w:tplc="6F382B18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87B006D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66AEAC76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A280961C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1F78B42E">
      <w:numFmt w:val="bullet"/>
      <w:lvlText w:val="•"/>
      <w:lvlJc w:val="left"/>
      <w:pPr>
        <w:ind w:left="5406" w:hanging="360"/>
      </w:pPr>
      <w:rPr>
        <w:rFonts w:hint="default"/>
      </w:rPr>
    </w:lvl>
    <w:lvl w:ilvl="6" w:tplc="FF26F74A">
      <w:numFmt w:val="bullet"/>
      <w:lvlText w:val="•"/>
      <w:lvlJc w:val="left"/>
      <w:pPr>
        <w:ind w:left="6373" w:hanging="360"/>
      </w:pPr>
      <w:rPr>
        <w:rFonts w:hint="default"/>
      </w:rPr>
    </w:lvl>
    <w:lvl w:ilvl="7" w:tplc="7B0624CE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415A6D32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1" w15:restartNumberingAfterBreak="0">
    <w:nsid w:val="394D0CB9"/>
    <w:multiLevelType w:val="hybridMultilevel"/>
    <w:tmpl w:val="A1FCDC0C"/>
    <w:lvl w:ilvl="0" w:tplc="60D8BF18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9C643A3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CF94D904">
      <w:numFmt w:val="bullet"/>
      <w:lvlText w:val="•"/>
      <w:lvlJc w:val="left"/>
      <w:pPr>
        <w:ind w:left="2511" w:hanging="360"/>
      </w:pPr>
      <w:rPr>
        <w:rFonts w:hint="default"/>
      </w:rPr>
    </w:lvl>
    <w:lvl w:ilvl="3" w:tplc="0D24A17C">
      <w:numFmt w:val="bullet"/>
      <w:lvlText w:val="•"/>
      <w:lvlJc w:val="left"/>
      <w:pPr>
        <w:ind w:left="3482" w:hanging="360"/>
      </w:pPr>
      <w:rPr>
        <w:rFonts w:hint="default"/>
      </w:rPr>
    </w:lvl>
    <w:lvl w:ilvl="4" w:tplc="AFACE0EC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79A4E63A"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E66E92AA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E9E45918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94C9722">
      <w:numFmt w:val="bullet"/>
      <w:lvlText w:val="•"/>
      <w:lvlJc w:val="left"/>
      <w:pPr>
        <w:ind w:left="8337" w:hanging="360"/>
      </w:pPr>
      <w:rPr>
        <w:rFonts w:hint="default"/>
      </w:rPr>
    </w:lvl>
  </w:abstractNum>
  <w:abstractNum w:abstractNumId="2" w15:restartNumberingAfterBreak="0">
    <w:nsid w:val="5BC13CD4"/>
    <w:multiLevelType w:val="hybridMultilevel"/>
    <w:tmpl w:val="C706DB3A"/>
    <w:lvl w:ilvl="0" w:tplc="C1205C80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F8D4740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9FCCC302"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A6CE9874">
      <w:numFmt w:val="bullet"/>
      <w:lvlText w:val="•"/>
      <w:lvlJc w:val="left"/>
      <w:pPr>
        <w:ind w:left="4156" w:hanging="360"/>
      </w:pPr>
      <w:rPr>
        <w:rFonts w:hint="default"/>
      </w:rPr>
    </w:lvl>
    <w:lvl w:ilvl="4" w:tplc="2A8A7D94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33FA83C2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0FF6BC6A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DC4C0FA0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B756D100"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88"/>
    <w:rsid w:val="00194595"/>
    <w:rsid w:val="00267A7A"/>
    <w:rsid w:val="00273FC5"/>
    <w:rsid w:val="004C6808"/>
    <w:rsid w:val="00520330"/>
    <w:rsid w:val="005D458A"/>
    <w:rsid w:val="00627252"/>
    <w:rsid w:val="007B479D"/>
    <w:rsid w:val="00832798"/>
    <w:rsid w:val="00935F84"/>
    <w:rsid w:val="00B53F61"/>
    <w:rsid w:val="00D41888"/>
    <w:rsid w:val="00DD3C2C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A45D"/>
  <w15:chartTrackingRefBased/>
  <w15:docId w15:val="{274C3E9B-FDF3-4803-BC3A-27EB581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88"/>
  </w:style>
  <w:style w:type="paragraph" w:styleId="Heading2">
    <w:name w:val="heading 2"/>
    <w:basedOn w:val="Normal"/>
    <w:link w:val="Heading2Char"/>
    <w:uiPriority w:val="9"/>
    <w:qFormat/>
    <w:rsid w:val="00D4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1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8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18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88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41888"/>
    <w:rPr>
      <w:i/>
      <w:iCs/>
    </w:rPr>
  </w:style>
  <w:style w:type="character" w:styleId="Strong">
    <w:name w:val="Strong"/>
    <w:basedOn w:val="DefaultParagraphFont"/>
    <w:uiPriority w:val="22"/>
    <w:qFormat/>
    <w:rsid w:val="00D41888"/>
    <w:rPr>
      <w:b/>
      <w:bCs/>
    </w:rPr>
  </w:style>
  <w:style w:type="paragraph" w:styleId="Revision">
    <w:name w:val="Revision"/>
    <w:hidden/>
    <w:uiPriority w:val="99"/>
    <w:semiHidden/>
    <w:rsid w:val="00DD3C2C"/>
    <w:pPr>
      <w:spacing w:after="0" w:line="240" w:lineRule="auto"/>
    </w:pPr>
  </w:style>
  <w:style w:type="paragraph" w:customStyle="1" w:styleId="Default">
    <w:name w:val="Default"/>
    <w:rsid w:val="00520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68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C6808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6808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C6808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95"/>
  </w:style>
  <w:style w:type="paragraph" w:styleId="Footer">
    <w:name w:val="footer"/>
    <w:basedOn w:val="Normal"/>
    <w:link w:val="FooterChar"/>
    <w:uiPriority w:val="99"/>
    <w:unhideWhenUsed/>
    <w:rsid w:val="0019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proctor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avier.edu/health-wellness/health/first-year-student-documents" TargetMode="External"/><Relationship Id="rId12" Type="http://schemas.openxmlformats.org/officeDocument/2006/relationships/hyperlink" Target="https://www.cdc.gov/coronavirus/2019-ncov/vaccines/safety/safety-of-vaccine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@medprocto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llivanm25@xavier.edu" TargetMode="External"/><Relationship Id="rId10" Type="http://schemas.openxmlformats.org/officeDocument/2006/relationships/hyperlink" Target="https://support.medprocto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xavier.edu/health-wellness/health/immuniz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1090</Words>
  <Characters>6213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Marybeth</dc:creator>
  <cp:keywords/>
  <dc:description/>
  <cp:lastModifiedBy>Sullivan, Marybeth</cp:lastModifiedBy>
  <cp:revision>2</cp:revision>
  <dcterms:created xsi:type="dcterms:W3CDTF">2023-08-08T15:18:00Z</dcterms:created>
  <dcterms:modified xsi:type="dcterms:W3CDTF">2023-08-08T15:18:00Z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0621b45b-06aa-4614-8a0f-bb9ad15f8b2c</vt:lpwstr>
  </property>
</Properties>
</file>