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3A" w:rsidRDefault="00FE533A" w:rsidP="00FE533A">
      <w:pPr>
        <w:jc w:val="both"/>
        <w:rPr>
          <w:b/>
        </w:rPr>
      </w:pPr>
      <w:r w:rsidRPr="00B10147">
        <w:rPr>
          <w:b/>
        </w:rPr>
        <w:t>OPES</w:t>
      </w:r>
    </w:p>
    <w:p w:rsidR="001B132A" w:rsidRDefault="00FE533A" w:rsidP="00FE533A">
      <w:pPr>
        <w:spacing w:before="1"/>
        <w:ind w:left="100" w:right="232"/>
      </w:pPr>
      <w:r>
        <w:t>The Ohio Principal Evaluation System (OPES), similar to OTES, is a summative evaluation of principals’ and assistant principals’ performance that results from the principal performance on the standards (50%) and student growth measures (50%). The performance measure is based on the professional growth plan and formative assessment of the principal performance based on the Ohio Standards for Principals as assessed by the district superintendent or a trained designee who conducts formal observations, evaluation of the professional development plan/goal setting/improvement plan, and pre and post-conferences. The principal’s student growth measurement is determined by value-added scores, LEA (local education agency) measures, and/or approved vendor assessment data.</w:t>
      </w:r>
    </w:p>
    <w:p w:rsidR="00FE533A" w:rsidRDefault="00FE533A" w:rsidP="00FE533A">
      <w:pPr>
        <w:spacing w:before="1"/>
        <w:ind w:left="100" w:right="232"/>
      </w:pPr>
    </w:p>
    <w:p w:rsidR="00FE533A" w:rsidRDefault="00FE533A" w:rsidP="00FE533A">
      <w:pPr>
        <w:spacing w:before="1"/>
        <w:ind w:left="100" w:right="232"/>
      </w:pPr>
      <w:r>
        <w:t>The data in Table 1</w:t>
      </w:r>
      <w:r>
        <w:t xml:space="preserve"> show the results of the OPES for Xavier University’s School of Education (SOE) graduates who were licensed in </w:t>
      </w:r>
      <w:r w:rsidRPr="001445A1">
        <w:t xml:space="preserve">years </w:t>
      </w:r>
      <w:r>
        <w:t>2011-2016</w:t>
      </w:r>
      <w:r w:rsidRPr="001445A1">
        <w:t xml:space="preserve">. </w:t>
      </w:r>
      <w:r>
        <w:t>There was no OPES data from Xavier University principal program completers in 2016 and 2017; therefore, this data is indicative of the most recent cycles of data.</w:t>
      </w:r>
    </w:p>
    <w:p w:rsidR="00FE533A" w:rsidRDefault="00FE533A" w:rsidP="00FE533A">
      <w:pPr>
        <w:spacing w:before="1"/>
        <w:ind w:left="100" w:right="232"/>
      </w:pPr>
    </w:p>
    <w:p w:rsidR="00FE533A" w:rsidRDefault="00FE533A" w:rsidP="00FE533A">
      <w:pPr>
        <w:ind w:left="120"/>
        <w:rPr>
          <w:i/>
        </w:rPr>
      </w:pPr>
      <w:r>
        <w:t>Table 1</w:t>
      </w:r>
      <w:r>
        <w:t xml:space="preserve">. </w:t>
      </w:r>
      <w:r>
        <w:rPr>
          <w:i/>
        </w:rPr>
        <w:t xml:space="preserve">Evaluation Ratings of </w:t>
      </w:r>
      <w:r w:rsidRPr="00F95E48">
        <w:rPr>
          <w:i/>
        </w:rPr>
        <w:t>Xavier University</w:t>
      </w:r>
      <w:r>
        <w:rPr>
          <w:i/>
        </w:rPr>
        <w:t xml:space="preserve"> SOE Licensed Principals from 2011-2016</w:t>
      </w:r>
    </w:p>
    <w:p w:rsidR="00FE533A" w:rsidRDefault="00FE533A" w:rsidP="00FE533A">
      <w:pPr>
        <w:ind w:left="120"/>
        <w:rPr>
          <w:i/>
        </w:rPr>
      </w:pPr>
    </w:p>
    <w:tbl>
      <w:tblPr>
        <w:tblStyle w:val="TableGrid"/>
        <w:tblW w:w="10350" w:type="dxa"/>
        <w:tblInd w:w="-252" w:type="dxa"/>
        <w:tblLook w:val="04A0" w:firstRow="1" w:lastRow="0" w:firstColumn="1" w:lastColumn="0" w:noHBand="0" w:noVBand="1"/>
      </w:tblPr>
      <w:tblGrid>
        <w:gridCol w:w="1656"/>
        <w:gridCol w:w="1733"/>
        <w:gridCol w:w="1882"/>
        <w:gridCol w:w="1677"/>
        <w:gridCol w:w="2056"/>
        <w:gridCol w:w="1599"/>
      </w:tblGrid>
      <w:tr w:rsidR="00FE533A" w:rsidRPr="003E351B" w:rsidTr="00B031FF">
        <w:trPr>
          <w:trHeight w:val="300"/>
        </w:trPr>
        <w:tc>
          <w:tcPr>
            <w:tcW w:w="1588" w:type="dxa"/>
            <w:noWrap/>
            <w:hideMark/>
          </w:tcPr>
          <w:p w:rsidR="00FE533A" w:rsidRPr="003E351B" w:rsidRDefault="00FE533A" w:rsidP="00B031FF">
            <w:pPr>
              <w:ind w:left="120"/>
              <w:rPr>
                <w:b/>
              </w:rPr>
            </w:pPr>
            <w:r w:rsidRPr="003E351B">
              <w:rPr>
                <w:b/>
              </w:rPr>
              <w:t>LICENSE_YEAR</w:t>
            </w:r>
          </w:p>
        </w:tc>
        <w:tc>
          <w:tcPr>
            <w:tcW w:w="1699" w:type="dxa"/>
            <w:noWrap/>
            <w:hideMark/>
          </w:tcPr>
          <w:p w:rsidR="00FE533A" w:rsidRPr="003E351B" w:rsidRDefault="00FE533A" w:rsidP="00B031FF">
            <w:pPr>
              <w:ind w:left="120"/>
              <w:rPr>
                <w:b/>
              </w:rPr>
            </w:pPr>
            <w:r w:rsidRPr="003E351B">
              <w:rPr>
                <w:b/>
              </w:rPr>
              <w:t>N_INEFFECTIVE</w:t>
            </w:r>
          </w:p>
        </w:tc>
        <w:tc>
          <w:tcPr>
            <w:tcW w:w="1882" w:type="dxa"/>
            <w:noWrap/>
            <w:hideMark/>
          </w:tcPr>
          <w:p w:rsidR="00FE533A" w:rsidRPr="003E351B" w:rsidRDefault="00FE533A" w:rsidP="00B031FF">
            <w:pPr>
              <w:ind w:left="120"/>
              <w:rPr>
                <w:b/>
              </w:rPr>
            </w:pPr>
            <w:r w:rsidRPr="003E351B">
              <w:rPr>
                <w:b/>
              </w:rPr>
              <w:t>N_DEVELOPING</w:t>
            </w:r>
          </w:p>
        </w:tc>
        <w:tc>
          <w:tcPr>
            <w:tcW w:w="1610" w:type="dxa"/>
            <w:noWrap/>
            <w:hideMark/>
          </w:tcPr>
          <w:p w:rsidR="00FE533A" w:rsidRPr="003E351B" w:rsidRDefault="00FE533A" w:rsidP="00B031FF">
            <w:pPr>
              <w:ind w:left="120"/>
              <w:rPr>
                <w:b/>
              </w:rPr>
            </w:pPr>
            <w:r w:rsidRPr="003E351B">
              <w:rPr>
                <w:b/>
              </w:rPr>
              <w:t>N_PROFICIENT</w:t>
            </w:r>
          </w:p>
        </w:tc>
        <w:tc>
          <w:tcPr>
            <w:tcW w:w="1972" w:type="dxa"/>
            <w:noWrap/>
            <w:hideMark/>
          </w:tcPr>
          <w:p w:rsidR="00FE533A" w:rsidRPr="003E351B" w:rsidRDefault="00FE533A" w:rsidP="00B031FF">
            <w:pPr>
              <w:ind w:left="120"/>
              <w:rPr>
                <w:b/>
              </w:rPr>
            </w:pPr>
            <w:r w:rsidRPr="003E351B">
              <w:rPr>
                <w:b/>
              </w:rPr>
              <w:t>N_ACCOMPLISHED</w:t>
            </w:r>
          </w:p>
        </w:tc>
        <w:tc>
          <w:tcPr>
            <w:tcW w:w="1599" w:type="dxa"/>
            <w:noWrap/>
            <w:hideMark/>
          </w:tcPr>
          <w:p w:rsidR="00FE533A" w:rsidRPr="003E351B" w:rsidRDefault="00FE533A" w:rsidP="00B031FF">
            <w:pPr>
              <w:ind w:left="120"/>
              <w:rPr>
                <w:b/>
              </w:rPr>
            </w:pPr>
            <w:r w:rsidRPr="003E351B">
              <w:rPr>
                <w:b/>
              </w:rPr>
              <w:t>REPORTNG YEAR</w:t>
            </w:r>
          </w:p>
        </w:tc>
      </w:tr>
      <w:tr w:rsidR="00FE533A" w:rsidRPr="003E351B" w:rsidTr="00B031FF">
        <w:trPr>
          <w:trHeight w:val="300"/>
        </w:trPr>
        <w:tc>
          <w:tcPr>
            <w:tcW w:w="1588" w:type="dxa"/>
            <w:noWrap/>
            <w:hideMark/>
          </w:tcPr>
          <w:p w:rsidR="00FE533A" w:rsidRPr="003E351B" w:rsidRDefault="00FE533A" w:rsidP="00B031FF">
            <w:pPr>
              <w:ind w:left="120"/>
            </w:pPr>
            <w:r w:rsidRPr="003E351B">
              <w:t>2015</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2</w:t>
            </w:r>
          </w:p>
        </w:tc>
        <w:tc>
          <w:tcPr>
            <w:tcW w:w="1972" w:type="dxa"/>
            <w:noWrap/>
            <w:hideMark/>
          </w:tcPr>
          <w:p w:rsidR="00FE533A" w:rsidRPr="003E351B" w:rsidRDefault="00FE533A" w:rsidP="00B031FF">
            <w:pPr>
              <w:ind w:left="120"/>
            </w:pPr>
            <w:r w:rsidRPr="003E351B">
              <w:t>0</w:t>
            </w:r>
          </w:p>
        </w:tc>
        <w:tc>
          <w:tcPr>
            <w:tcW w:w="1599" w:type="dxa"/>
            <w:noWrap/>
            <w:hideMark/>
          </w:tcPr>
          <w:p w:rsidR="00FE533A" w:rsidRPr="003E351B" w:rsidRDefault="00FE533A" w:rsidP="00B031FF">
            <w:pPr>
              <w:ind w:left="120"/>
            </w:pPr>
            <w:r w:rsidRPr="003E351B">
              <w:t>2018, 2017</w:t>
            </w:r>
          </w:p>
        </w:tc>
      </w:tr>
      <w:tr w:rsidR="00FE533A" w:rsidRPr="003E351B" w:rsidTr="00B031FF">
        <w:trPr>
          <w:trHeight w:val="300"/>
        </w:trPr>
        <w:tc>
          <w:tcPr>
            <w:tcW w:w="1588" w:type="dxa"/>
            <w:noWrap/>
            <w:hideMark/>
          </w:tcPr>
          <w:p w:rsidR="00FE533A" w:rsidRPr="003E351B" w:rsidRDefault="00FE533A" w:rsidP="00B031FF">
            <w:pPr>
              <w:ind w:left="120"/>
            </w:pPr>
            <w:r w:rsidRPr="003E351B">
              <w:t>2014</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1</w:t>
            </w:r>
          </w:p>
        </w:tc>
        <w:tc>
          <w:tcPr>
            <w:tcW w:w="1610" w:type="dxa"/>
            <w:noWrap/>
            <w:hideMark/>
          </w:tcPr>
          <w:p w:rsidR="00FE533A" w:rsidRPr="003E351B" w:rsidRDefault="00FE533A" w:rsidP="00B031FF">
            <w:pPr>
              <w:ind w:left="120"/>
            </w:pPr>
            <w:r w:rsidRPr="003E351B">
              <w:t>0</w:t>
            </w:r>
          </w:p>
        </w:tc>
        <w:tc>
          <w:tcPr>
            <w:tcW w:w="1972" w:type="dxa"/>
            <w:noWrap/>
            <w:hideMark/>
          </w:tcPr>
          <w:p w:rsidR="00FE533A" w:rsidRPr="003E351B" w:rsidRDefault="00FE533A" w:rsidP="00B031FF">
            <w:pPr>
              <w:ind w:left="120"/>
            </w:pPr>
            <w:r w:rsidRPr="003E351B">
              <w:t>0</w:t>
            </w:r>
          </w:p>
        </w:tc>
        <w:tc>
          <w:tcPr>
            <w:tcW w:w="1599" w:type="dxa"/>
            <w:noWrap/>
            <w:hideMark/>
          </w:tcPr>
          <w:p w:rsidR="00FE533A" w:rsidRPr="003E351B" w:rsidRDefault="00FE533A" w:rsidP="00B031FF">
            <w:pPr>
              <w:ind w:left="120"/>
            </w:pPr>
            <w:r w:rsidRPr="003E351B">
              <w:t>2017</w:t>
            </w:r>
          </w:p>
        </w:tc>
      </w:tr>
      <w:tr w:rsidR="00FE533A" w:rsidRPr="003E351B" w:rsidTr="00B031FF">
        <w:trPr>
          <w:trHeight w:val="300"/>
        </w:trPr>
        <w:tc>
          <w:tcPr>
            <w:tcW w:w="1588" w:type="dxa"/>
            <w:noWrap/>
            <w:hideMark/>
          </w:tcPr>
          <w:p w:rsidR="00FE533A" w:rsidRPr="003E351B" w:rsidRDefault="00FE533A" w:rsidP="00B031FF">
            <w:pPr>
              <w:ind w:left="120"/>
            </w:pPr>
            <w:r w:rsidRPr="003E351B">
              <w:t>2013</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2</w:t>
            </w:r>
          </w:p>
        </w:tc>
        <w:tc>
          <w:tcPr>
            <w:tcW w:w="1972" w:type="dxa"/>
            <w:noWrap/>
            <w:hideMark/>
          </w:tcPr>
          <w:p w:rsidR="00FE533A" w:rsidRPr="003E351B" w:rsidRDefault="00FE533A" w:rsidP="00B031FF">
            <w:pPr>
              <w:ind w:left="120"/>
            </w:pPr>
            <w:r w:rsidRPr="003E351B">
              <w:t>2</w:t>
            </w:r>
          </w:p>
        </w:tc>
        <w:tc>
          <w:tcPr>
            <w:tcW w:w="1599" w:type="dxa"/>
            <w:noWrap/>
            <w:hideMark/>
          </w:tcPr>
          <w:p w:rsidR="00FE533A" w:rsidRPr="003E351B" w:rsidRDefault="00FE533A" w:rsidP="00B031FF">
            <w:pPr>
              <w:ind w:left="120"/>
            </w:pPr>
            <w:r w:rsidRPr="003E351B">
              <w:t>2017</w:t>
            </w:r>
          </w:p>
        </w:tc>
      </w:tr>
      <w:tr w:rsidR="00FE533A" w:rsidRPr="003E351B" w:rsidTr="00B031FF">
        <w:trPr>
          <w:trHeight w:val="300"/>
        </w:trPr>
        <w:tc>
          <w:tcPr>
            <w:tcW w:w="1588" w:type="dxa"/>
            <w:shd w:val="clear" w:color="auto" w:fill="D9D9D9" w:themeFill="background1" w:themeFillShade="D9"/>
            <w:noWrap/>
            <w:hideMark/>
          </w:tcPr>
          <w:p w:rsidR="00FE533A" w:rsidRPr="003E351B" w:rsidRDefault="00FE533A" w:rsidP="00B031FF">
            <w:pPr>
              <w:ind w:left="120"/>
            </w:pPr>
          </w:p>
        </w:tc>
        <w:tc>
          <w:tcPr>
            <w:tcW w:w="1699" w:type="dxa"/>
            <w:shd w:val="clear" w:color="auto" w:fill="D9D9D9" w:themeFill="background1" w:themeFillShade="D9"/>
            <w:noWrap/>
            <w:hideMark/>
          </w:tcPr>
          <w:p w:rsidR="00FE533A" w:rsidRPr="003E351B" w:rsidRDefault="00FE533A" w:rsidP="00B031FF">
            <w:pPr>
              <w:ind w:left="120"/>
            </w:pPr>
          </w:p>
        </w:tc>
        <w:tc>
          <w:tcPr>
            <w:tcW w:w="1882" w:type="dxa"/>
            <w:shd w:val="clear" w:color="auto" w:fill="D9D9D9" w:themeFill="background1" w:themeFillShade="D9"/>
            <w:noWrap/>
            <w:hideMark/>
          </w:tcPr>
          <w:p w:rsidR="00FE533A" w:rsidRPr="003E351B" w:rsidRDefault="00FE533A" w:rsidP="00B031FF">
            <w:pPr>
              <w:ind w:left="120"/>
            </w:pPr>
          </w:p>
        </w:tc>
        <w:tc>
          <w:tcPr>
            <w:tcW w:w="1610" w:type="dxa"/>
            <w:shd w:val="clear" w:color="auto" w:fill="D9D9D9" w:themeFill="background1" w:themeFillShade="D9"/>
            <w:noWrap/>
            <w:hideMark/>
          </w:tcPr>
          <w:p w:rsidR="00FE533A" w:rsidRPr="003E351B" w:rsidRDefault="00FE533A" w:rsidP="00B031FF">
            <w:pPr>
              <w:ind w:left="120"/>
            </w:pPr>
          </w:p>
        </w:tc>
        <w:tc>
          <w:tcPr>
            <w:tcW w:w="1972" w:type="dxa"/>
            <w:shd w:val="clear" w:color="auto" w:fill="D9D9D9" w:themeFill="background1" w:themeFillShade="D9"/>
            <w:noWrap/>
            <w:hideMark/>
          </w:tcPr>
          <w:p w:rsidR="00FE533A" w:rsidRPr="003E351B" w:rsidRDefault="00FE533A" w:rsidP="00B031FF">
            <w:pPr>
              <w:ind w:left="120"/>
            </w:pPr>
          </w:p>
        </w:tc>
        <w:tc>
          <w:tcPr>
            <w:tcW w:w="1599" w:type="dxa"/>
            <w:shd w:val="clear" w:color="auto" w:fill="D9D9D9" w:themeFill="background1" w:themeFillShade="D9"/>
            <w:noWrap/>
            <w:hideMark/>
          </w:tcPr>
          <w:p w:rsidR="00FE533A" w:rsidRPr="003E351B" w:rsidRDefault="00FE533A" w:rsidP="00B031FF">
            <w:pPr>
              <w:ind w:left="120"/>
            </w:pPr>
          </w:p>
        </w:tc>
      </w:tr>
      <w:tr w:rsidR="00FE533A" w:rsidRPr="003E351B" w:rsidTr="00B031FF">
        <w:trPr>
          <w:trHeight w:val="300"/>
        </w:trPr>
        <w:tc>
          <w:tcPr>
            <w:tcW w:w="1588" w:type="dxa"/>
            <w:noWrap/>
            <w:hideMark/>
          </w:tcPr>
          <w:p w:rsidR="00FE533A" w:rsidRPr="003E351B" w:rsidRDefault="00FE533A" w:rsidP="00B031FF">
            <w:pPr>
              <w:ind w:left="120"/>
            </w:pPr>
            <w:r w:rsidRPr="003E351B">
              <w:t>2012</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3</w:t>
            </w:r>
          </w:p>
        </w:tc>
        <w:tc>
          <w:tcPr>
            <w:tcW w:w="1972" w:type="dxa"/>
            <w:noWrap/>
            <w:hideMark/>
          </w:tcPr>
          <w:p w:rsidR="00FE533A" w:rsidRPr="003E351B" w:rsidRDefault="00FE533A" w:rsidP="00B031FF">
            <w:pPr>
              <w:ind w:left="120"/>
            </w:pPr>
            <w:r w:rsidRPr="003E351B">
              <w:t>2</w:t>
            </w:r>
          </w:p>
        </w:tc>
        <w:tc>
          <w:tcPr>
            <w:tcW w:w="1599" w:type="dxa"/>
            <w:noWrap/>
            <w:hideMark/>
          </w:tcPr>
          <w:p w:rsidR="00FE533A" w:rsidRPr="003E351B" w:rsidRDefault="00FE533A" w:rsidP="00B031FF">
            <w:pPr>
              <w:ind w:left="120"/>
            </w:pPr>
            <w:r w:rsidRPr="003E351B">
              <w:t>2016</w:t>
            </w:r>
          </w:p>
        </w:tc>
      </w:tr>
      <w:tr w:rsidR="00FE533A" w:rsidRPr="003E351B" w:rsidTr="00B031FF">
        <w:trPr>
          <w:trHeight w:val="300"/>
        </w:trPr>
        <w:tc>
          <w:tcPr>
            <w:tcW w:w="1588" w:type="dxa"/>
            <w:noWrap/>
            <w:hideMark/>
          </w:tcPr>
          <w:p w:rsidR="00FE533A" w:rsidRPr="003E351B" w:rsidRDefault="00FE533A" w:rsidP="00B031FF">
            <w:pPr>
              <w:ind w:left="120"/>
            </w:pPr>
            <w:r w:rsidRPr="003E351B">
              <w:t>2013</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2</w:t>
            </w:r>
          </w:p>
        </w:tc>
        <w:tc>
          <w:tcPr>
            <w:tcW w:w="1972" w:type="dxa"/>
            <w:noWrap/>
            <w:hideMark/>
          </w:tcPr>
          <w:p w:rsidR="00FE533A" w:rsidRPr="003E351B" w:rsidRDefault="00FE533A" w:rsidP="00B031FF">
            <w:pPr>
              <w:ind w:left="120"/>
            </w:pPr>
            <w:r w:rsidRPr="003E351B">
              <w:t>1</w:t>
            </w:r>
          </w:p>
        </w:tc>
        <w:tc>
          <w:tcPr>
            <w:tcW w:w="1599" w:type="dxa"/>
            <w:noWrap/>
            <w:hideMark/>
          </w:tcPr>
          <w:p w:rsidR="00FE533A" w:rsidRPr="003E351B" w:rsidRDefault="00FE533A" w:rsidP="00B031FF">
            <w:pPr>
              <w:ind w:left="120"/>
            </w:pPr>
            <w:r w:rsidRPr="003E351B">
              <w:t>2016</w:t>
            </w:r>
          </w:p>
        </w:tc>
      </w:tr>
      <w:tr w:rsidR="00FE533A" w:rsidRPr="003E351B" w:rsidTr="00B031FF">
        <w:trPr>
          <w:trHeight w:val="300"/>
        </w:trPr>
        <w:tc>
          <w:tcPr>
            <w:tcW w:w="1588" w:type="dxa"/>
            <w:noWrap/>
            <w:hideMark/>
          </w:tcPr>
          <w:p w:rsidR="00FE533A" w:rsidRPr="003E351B" w:rsidRDefault="00FE533A" w:rsidP="00B031FF">
            <w:pPr>
              <w:ind w:left="120"/>
            </w:pPr>
            <w:r w:rsidRPr="003E351B">
              <w:t>2014</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1</w:t>
            </w:r>
          </w:p>
        </w:tc>
        <w:tc>
          <w:tcPr>
            <w:tcW w:w="1972" w:type="dxa"/>
            <w:noWrap/>
            <w:hideMark/>
          </w:tcPr>
          <w:p w:rsidR="00FE533A" w:rsidRPr="003E351B" w:rsidRDefault="00FE533A" w:rsidP="00B031FF">
            <w:pPr>
              <w:ind w:left="120"/>
            </w:pPr>
            <w:r w:rsidRPr="003E351B">
              <w:t>0</w:t>
            </w:r>
          </w:p>
        </w:tc>
        <w:tc>
          <w:tcPr>
            <w:tcW w:w="1599" w:type="dxa"/>
            <w:noWrap/>
            <w:hideMark/>
          </w:tcPr>
          <w:p w:rsidR="00FE533A" w:rsidRPr="003E351B" w:rsidRDefault="00FE533A" w:rsidP="00B031FF">
            <w:pPr>
              <w:ind w:left="120"/>
            </w:pPr>
            <w:r w:rsidRPr="003E351B">
              <w:t>2016</w:t>
            </w:r>
          </w:p>
        </w:tc>
      </w:tr>
      <w:tr w:rsidR="00FE533A" w:rsidRPr="003E351B" w:rsidTr="00B031FF">
        <w:trPr>
          <w:trHeight w:val="300"/>
        </w:trPr>
        <w:tc>
          <w:tcPr>
            <w:tcW w:w="1588" w:type="dxa"/>
            <w:noWrap/>
            <w:hideMark/>
          </w:tcPr>
          <w:p w:rsidR="00FE533A" w:rsidRPr="003E351B" w:rsidRDefault="00FE533A" w:rsidP="00B031FF">
            <w:pPr>
              <w:ind w:left="120"/>
            </w:pPr>
            <w:r w:rsidRPr="003E351B">
              <w:t>2015</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2</w:t>
            </w:r>
          </w:p>
        </w:tc>
        <w:tc>
          <w:tcPr>
            <w:tcW w:w="1972" w:type="dxa"/>
            <w:noWrap/>
            <w:hideMark/>
          </w:tcPr>
          <w:p w:rsidR="00FE533A" w:rsidRPr="003E351B" w:rsidRDefault="00FE533A" w:rsidP="00B031FF">
            <w:pPr>
              <w:ind w:left="120"/>
            </w:pPr>
            <w:r w:rsidRPr="003E351B">
              <w:t>1</w:t>
            </w:r>
          </w:p>
        </w:tc>
        <w:tc>
          <w:tcPr>
            <w:tcW w:w="1599" w:type="dxa"/>
            <w:noWrap/>
            <w:hideMark/>
          </w:tcPr>
          <w:p w:rsidR="00FE533A" w:rsidRPr="003E351B" w:rsidRDefault="00FE533A" w:rsidP="00B031FF">
            <w:pPr>
              <w:ind w:left="120"/>
            </w:pPr>
            <w:r w:rsidRPr="003E351B">
              <w:t>2016</w:t>
            </w:r>
          </w:p>
        </w:tc>
      </w:tr>
      <w:tr w:rsidR="00FE533A" w:rsidRPr="003E351B" w:rsidTr="00B031FF">
        <w:trPr>
          <w:trHeight w:val="300"/>
        </w:trPr>
        <w:tc>
          <w:tcPr>
            <w:tcW w:w="1588" w:type="dxa"/>
            <w:shd w:val="clear" w:color="auto" w:fill="D9D9D9" w:themeFill="background1" w:themeFillShade="D9"/>
            <w:noWrap/>
            <w:hideMark/>
          </w:tcPr>
          <w:p w:rsidR="00FE533A" w:rsidRPr="003E351B" w:rsidRDefault="00FE533A" w:rsidP="00B031FF">
            <w:pPr>
              <w:ind w:left="120"/>
            </w:pPr>
          </w:p>
        </w:tc>
        <w:tc>
          <w:tcPr>
            <w:tcW w:w="1699" w:type="dxa"/>
            <w:shd w:val="clear" w:color="auto" w:fill="D9D9D9" w:themeFill="background1" w:themeFillShade="D9"/>
            <w:noWrap/>
            <w:hideMark/>
          </w:tcPr>
          <w:p w:rsidR="00FE533A" w:rsidRPr="003E351B" w:rsidRDefault="00FE533A" w:rsidP="00B031FF">
            <w:pPr>
              <w:ind w:left="120"/>
            </w:pPr>
          </w:p>
        </w:tc>
        <w:tc>
          <w:tcPr>
            <w:tcW w:w="1882" w:type="dxa"/>
            <w:shd w:val="clear" w:color="auto" w:fill="D9D9D9" w:themeFill="background1" w:themeFillShade="D9"/>
            <w:noWrap/>
            <w:hideMark/>
          </w:tcPr>
          <w:p w:rsidR="00FE533A" w:rsidRPr="003E351B" w:rsidRDefault="00FE533A" w:rsidP="00B031FF">
            <w:pPr>
              <w:ind w:left="120"/>
            </w:pPr>
          </w:p>
        </w:tc>
        <w:tc>
          <w:tcPr>
            <w:tcW w:w="1610" w:type="dxa"/>
            <w:shd w:val="clear" w:color="auto" w:fill="D9D9D9" w:themeFill="background1" w:themeFillShade="D9"/>
            <w:noWrap/>
            <w:hideMark/>
          </w:tcPr>
          <w:p w:rsidR="00FE533A" w:rsidRPr="003E351B" w:rsidRDefault="00FE533A" w:rsidP="00B031FF">
            <w:pPr>
              <w:ind w:left="120"/>
            </w:pPr>
          </w:p>
        </w:tc>
        <w:tc>
          <w:tcPr>
            <w:tcW w:w="1972" w:type="dxa"/>
            <w:shd w:val="clear" w:color="auto" w:fill="D9D9D9" w:themeFill="background1" w:themeFillShade="D9"/>
            <w:noWrap/>
            <w:hideMark/>
          </w:tcPr>
          <w:p w:rsidR="00FE533A" w:rsidRPr="003E351B" w:rsidRDefault="00FE533A" w:rsidP="00B031FF">
            <w:pPr>
              <w:ind w:left="120"/>
            </w:pPr>
          </w:p>
        </w:tc>
        <w:tc>
          <w:tcPr>
            <w:tcW w:w="1599" w:type="dxa"/>
            <w:shd w:val="clear" w:color="auto" w:fill="D9D9D9" w:themeFill="background1" w:themeFillShade="D9"/>
            <w:noWrap/>
            <w:hideMark/>
          </w:tcPr>
          <w:p w:rsidR="00FE533A" w:rsidRPr="003E351B" w:rsidRDefault="00FE533A" w:rsidP="00B031FF">
            <w:pPr>
              <w:ind w:left="120"/>
            </w:pPr>
          </w:p>
        </w:tc>
      </w:tr>
      <w:tr w:rsidR="00FE533A" w:rsidRPr="003E351B" w:rsidTr="00B031FF">
        <w:trPr>
          <w:trHeight w:val="300"/>
        </w:trPr>
        <w:tc>
          <w:tcPr>
            <w:tcW w:w="1588" w:type="dxa"/>
            <w:noWrap/>
            <w:hideMark/>
          </w:tcPr>
          <w:p w:rsidR="00FE533A" w:rsidRPr="003E351B" w:rsidRDefault="00FE533A" w:rsidP="00B031FF">
            <w:pPr>
              <w:ind w:left="120"/>
            </w:pPr>
            <w:r w:rsidRPr="003E351B">
              <w:t>2011</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1</w:t>
            </w:r>
          </w:p>
        </w:tc>
        <w:tc>
          <w:tcPr>
            <w:tcW w:w="1610" w:type="dxa"/>
            <w:noWrap/>
            <w:hideMark/>
          </w:tcPr>
          <w:p w:rsidR="00FE533A" w:rsidRPr="003E351B" w:rsidRDefault="00FE533A" w:rsidP="00B031FF">
            <w:pPr>
              <w:ind w:left="120"/>
            </w:pPr>
            <w:r w:rsidRPr="003E351B">
              <w:t>4</w:t>
            </w:r>
          </w:p>
        </w:tc>
        <w:tc>
          <w:tcPr>
            <w:tcW w:w="1972" w:type="dxa"/>
            <w:noWrap/>
            <w:hideMark/>
          </w:tcPr>
          <w:p w:rsidR="00FE533A" w:rsidRPr="003E351B" w:rsidRDefault="00FE533A" w:rsidP="00B031FF">
            <w:pPr>
              <w:ind w:left="120"/>
            </w:pPr>
            <w:r w:rsidRPr="003E351B">
              <w:t>3</w:t>
            </w:r>
          </w:p>
        </w:tc>
        <w:tc>
          <w:tcPr>
            <w:tcW w:w="1599" w:type="dxa"/>
            <w:noWrap/>
            <w:hideMark/>
          </w:tcPr>
          <w:p w:rsidR="00FE533A" w:rsidRPr="003E351B" w:rsidRDefault="00FE533A" w:rsidP="00B031FF">
            <w:pPr>
              <w:ind w:left="120"/>
            </w:pPr>
            <w:r w:rsidRPr="003E351B">
              <w:t>2015</w:t>
            </w:r>
          </w:p>
        </w:tc>
      </w:tr>
      <w:tr w:rsidR="00FE533A" w:rsidRPr="003E351B" w:rsidTr="00B031FF">
        <w:trPr>
          <w:trHeight w:val="300"/>
        </w:trPr>
        <w:tc>
          <w:tcPr>
            <w:tcW w:w="1588" w:type="dxa"/>
            <w:noWrap/>
            <w:hideMark/>
          </w:tcPr>
          <w:p w:rsidR="00FE533A" w:rsidRPr="003E351B" w:rsidRDefault="00FE533A" w:rsidP="00B031FF">
            <w:pPr>
              <w:ind w:left="120"/>
            </w:pPr>
            <w:r w:rsidRPr="003E351B">
              <w:t>2012</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2</w:t>
            </w:r>
          </w:p>
        </w:tc>
        <w:tc>
          <w:tcPr>
            <w:tcW w:w="1610" w:type="dxa"/>
            <w:noWrap/>
            <w:hideMark/>
          </w:tcPr>
          <w:p w:rsidR="00FE533A" w:rsidRPr="003E351B" w:rsidRDefault="00FE533A" w:rsidP="00B031FF">
            <w:pPr>
              <w:ind w:left="120"/>
            </w:pPr>
            <w:r w:rsidRPr="003E351B">
              <w:t>2</w:t>
            </w:r>
          </w:p>
        </w:tc>
        <w:tc>
          <w:tcPr>
            <w:tcW w:w="1972" w:type="dxa"/>
            <w:noWrap/>
            <w:hideMark/>
          </w:tcPr>
          <w:p w:rsidR="00FE533A" w:rsidRPr="003E351B" w:rsidRDefault="00FE533A" w:rsidP="00B031FF">
            <w:pPr>
              <w:ind w:left="120"/>
            </w:pPr>
            <w:r w:rsidRPr="003E351B">
              <w:t>0</w:t>
            </w:r>
          </w:p>
        </w:tc>
        <w:tc>
          <w:tcPr>
            <w:tcW w:w="1599" w:type="dxa"/>
            <w:noWrap/>
            <w:hideMark/>
          </w:tcPr>
          <w:p w:rsidR="00FE533A" w:rsidRPr="003E351B" w:rsidRDefault="00FE533A" w:rsidP="00B031FF">
            <w:pPr>
              <w:ind w:left="120"/>
            </w:pPr>
            <w:r w:rsidRPr="003E351B">
              <w:t>2015</w:t>
            </w:r>
          </w:p>
        </w:tc>
      </w:tr>
      <w:tr w:rsidR="00FE533A" w:rsidRPr="003E351B" w:rsidTr="00B031FF">
        <w:trPr>
          <w:trHeight w:val="300"/>
        </w:trPr>
        <w:tc>
          <w:tcPr>
            <w:tcW w:w="1588" w:type="dxa"/>
            <w:noWrap/>
            <w:hideMark/>
          </w:tcPr>
          <w:p w:rsidR="00FE533A" w:rsidRPr="003E351B" w:rsidRDefault="00FE533A" w:rsidP="00B031FF">
            <w:pPr>
              <w:ind w:left="120"/>
            </w:pPr>
            <w:r w:rsidRPr="003E351B">
              <w:t>2013</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1</w:t>
            </w:r>
          </w:p>
        </w:tc>
        <w:tc>
          <w:tcPr>
            <w:tcW w:w="1972" w:type="dxa"/>
            <w:noWrap/>
            <w:hideMark/>
          </w:tcPr>
          <w:p w:rsidR="00FE533A" w:rsidRPr="003E351B" w:rsidRDefault="00FE533A" w:rsidP="00B031FF">
            <w:pPr>
              <w:ind w:left="120"/>
            </w:pPr>
            <w:r w:rsidRPr="003E351B">
              <w:t>0</w:t>
            </w:r>
          </w:p>
        </w:tc>
        <w:tc>
          <w:tcPr>
            <w:tcW w:w="1599" w:type="dxa"/>
            <w:noWrap/>
            <w:hideMark/>
          </w:tcPr>
          <w:p w:rsidR="00FE533A" w:rsidRPr="003E351B" w:rsidRDefault="00FE533A" w:rsidP="00B031FF">
            <w:pPr>
              <w:ind w:left="120"/>
            </w:pPr>
            <w:r w:rsidRPr="003E351B">
              <w:t>2015</w:t>
            </w:r>
          </w:p>
        </w:tc>
      </w:tr>
      <w:tr w:rsidR="00FE533A" w:rsidRPr="003E351B" w:rsidTr="00B031FF">
        <w:trPr>
          <w:trHeight w:val="300"/>
        </w:trPr>
        <w:tc>
          <w:tcPr>
            <w:tcW w:w="1588" w:type="dxa"/>
            <w:noWrap/>
            <w:hideMark/>
          </w:tcPr>
          <w:p w:rsidR="00FE533A" w:rsidRPr="003E351B" w:rsidRDefault="00FE533A" w:rsidP="00B031FF">
            <w:pPr>
              <w:ind w:left="120"/>
            </w:pPr>
            <w:r w:rsidRPr="003E351B">
              <w:t>2014</w:t>
            </w:r>
          </w:p>
        </w:tc>
        <w:tc>
          <w:tcPr>
            <w:tcW w:w="1699" w:type="dxa"/>
            <w:noWrap/>
            <w:hideMark/>
          </w:tcPr>
          <w:p w:rsidR="00FE533A" w:rsidRPr="003E351B" w:rsidRDefault="00FE533A" w:rsidP="00B031FF">
            <w:pPr>
              <w:ind w:left="120"/>
            </w:pPr>
            <w:r w:rsidRPr="003E351B">
              <w:t>0</w:t>
            </w:r>
          </w:p>
        </w:tc>
        <w:tc>
          <w:tcPr>
            <w:tcW w:w="1882" w:type="dxa"/>
            <w:noWrap/>
            <w:hideMark/>
          </w:tcPr>
          <w:p w:rsidR="00FE533A" w:rsidRPr="003E351B" w:rsidRDefault="00FE533A" w:rsidP="00B031FF">
            <w:pPr>
              <w:ind w:left="120"/>
            </w:pPr>
            <w:r w:rsidRPr="003E351B">
              <w:t>0</w:t>
            </w:r>
          </w:p>
        </w:tc>
        <w:tc>
          <w:tcPr>
            <w:tcW w:w="1610" w:type="dxa"/>
            <w:noWrap/>
            <w:hideMark/>
          </w:tcPr>
          <w:p w:rsidR="00FE533A" w:rsidRPr="003E351B" w:rsidRDefault="00FE533A" w:rsidP="00B031FF">
            <w:pPr>
              <w:ind w:left="120"/>
            </w:pPr>
            <w:r w:rsidRPr="003E351B">
              <w:t>1</w:t>
            </w:r>
          </w:p>
        </w:tc>
        <w:tc>
          <w:tcPr>
            <w:tcW w:w="1972" w:type="dxa"/>
            <w:noWrap/>
            <w:hideMark/>
          </w:tcPr>
          <w:p w:rsidR="00FE533A" w:rsidRPr="003E351B" w:rsidRDefault="00FE533A" w:rsidP="00B031FF">
            <w:pPr>
              <w:ind w:left="120"/>
            </w:pPr>
            <w:r w:rsidRPr="003E351B">
              <w:t>0</w:t>
            </w:r>
          </w:p>
        </w:tc>
        <w:tc>
          <w:tcPr>
            <w:tcW w:w="1599" w:type="dxa"/>
            <w:noWrap/>
            <w:hideMark/>
          </w:tcPr>
          <w:p w:rsidR="00FE533A" w:rsidRPr="003E351B" w:rsidRDefault="00FE533A" w:rsidP="00B031FF">
            <w:pPr>
              <w:ind w:left="120"/>
            </w:pPr>
            <w:r w:rsidRPr="003E351B">
              <w:t>2015</w:t>
            </w:r>
          </w:p>
        </w:tc>
      </w:tr>
    </w:tbl>
    <w:p w:rsidR="00FE533A" w:rsidRDefault="00FE533A" w:rsidP="00FE533A">
      <w:pPr>
        <w:spacing w:before="1"/>
        <w:ind w:left="100" w:right="232"/>
      </w:pPr>
    </w:p>
    <w:p w:rsidR="00FE533A" w:rsidRDefault="00FE533A" w:rsidP="00FE533A">
      <w:pPr>
        <w:spacing w:before="1"/>
        <w:ind w:left="100" w:right="232"/>
      </w:pPr>
      <w:r>
        <w:t>The principal performance data show an overall positive summative evaluation by supervisors: in nearly all cases, principals are proficient/accomplished by the 3</w:t>
      </w:r>
      <w:r w:rsidRPr="00BF3FEC">
        <w:rPr>
          <w:vertAlign w:val="superscript"/>
        </w:rPr>
        <w:t>rd</w:t>
      </w:r>
      <w:r>
        <w:t xml:space="preserve"> year of the </w:t>
      </w:r>
      <w:proofErr w:type="spellStart"/>
      <w:r>
        <w:t>principalship</w:t>
      </w:r>
      <w:proofErr w:type="spellEnd"/>
      <w:r>
        <w:t>. Overall, 91% of completers are at proficient or accomplished. These results indicate a strong pattern of the SOE’s licensed principal completers consistently meeting expectations for performance and fully demonstrating most or all competencies for principals. Further, the trend indicates an increase in performance level toward Accomplished by the end of their fourth year, in most cases other than the 1 2014 completer. For example, i</w:t>
      </w:r>
      <w:bookmarkStart w:id="0" w:name="_GoBack"/>
      <w:bookmarkEnd w:id="0"/>
      <w:r>
        <w:t>n the 2015 and 2016 reporting years, the completers who had only 1 year of principal experience were all earning proficient or accomplished ratings.</w:t>
      </w:r>
    </w:p>
    <w:sectPr w:rsidR="00FE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3A"/>
    <w:rsid w:val="001B132A"/>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3E14"/>
  <w15:chartTrackingRefBased/>
  <w15:docId w15:val="{9122A774-60B5-4D49-9758-1FEF5FED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533A"/>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33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Brittiani</dc:creator>
  <cp:keywords/>
  <dc:description/>
  <cp:lastModifiedBy>McNeil, Brittiani</cp:lastModifiedBy>
  <cp:revision>1</cp:revision>
  <dcterms:created xsi:type="dcterms:W3CDTF">2021-01-29T18:59:00Z</dcterms:created>
  <dcterms:modified xsi:type="dcterms:W3CDTF">2021-01-29T19:03:00Z</dcterms:modified>
</cp:coreProperties>
</file>