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86"/>
        <w:rPr>
          <w:rFonts w:asciiTheme="majorHAnsi" w:hAnsiTheme="majorHAnsi" w:cstheme="majorHAnsi"/>
          <w:color w:val="000000"/>
        </w:rPr>
      </w:pPr>
      <w:r w:rsidRPr="00E73C3A">
        <w:rPr>
          <w:rFonts w:asciiTheme="majorHAnsi" w:hAnsiTheme="majorHAnsi" w:cstheme="majorHAnsi"/>
          <w:noProof/>
          <w:color w:val="000000"/>
        </w:rPr>
        <w:drawing>
          <wp:inline distT="19050" distB="19050" distL="19050" distR="19050">
            <wp:extent cx="622300" cy="7772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10C4" w:rsidRPr="00E73C3A" w:rsidRDefault="004910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E73C3A">
        <w:rPr>
          <w:rFonts w:asciiTheme="majorHAnsi" w:eastAsia="Calibri" w:hAnsiTheme="majorHAnsi" w:cstheme="majorHAnsi"/>
          <w:b/>
          <w:color w:val="000000"/>
        </w:rPr>
        <w:t xml:space="preserve">STUDENT EMERGENCY FUND </w:t>
      </w:r>
    </w:p>
    <w:p w:rsidR="004910C4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right="157" w:hanging="2"/>
        <w:rPr>
          <w:rFonts w:asciiTheme="majorHAnsi" w:eastAsia="Calibri" w:hAnsiTheme="majorHAnsi" w:cstheme="majorHAnsi"/>
          <w:i/>
          <w:color w:val="000000"/>
        </w:rPr>
      </w:pPr>
      <w:r w:rsidRPr="00E73C3A">
        <w:rPr>
          <w:rFonts w:asciiTheme="majorHAnsi" w:eastAsia="Calibri" w:hAnsiTheme="majorHAnsi" w:cstheme="majorHAnsi"/>
          <w:color w:val="000000"/>
        </w:rPr>
        <w:t xml:space="preserve">The Student Emergency Fund provides limited emergency financial assistance to currently enrolled Xavier </w:t>
      </w:r>
      <w:r w:rsidR="004910C4" w:rsidRPr="00E73C3A">
        <w:rPr>
          <w:rFonts w:asciiTheme="majorHAnsi" w:eastAsia="Calibri" w:hAnsiTheme="majorHAnsi" w:cstheme="majorHAnsi"/>
          <w:color w:val="000000"/>
        </w:rPr>
        <w:t>University students</w:t>
      </w:r>
      <w:r w:rsidRPr="00E73C3A">
        <w:rPr>
          <w:rFonts w:asciiTheme="majorHAnsi" w:eastAsia="Calibri" w:hAnsiTheme="majorHAnsi" w:cstheme="majorHAnsi"/>
          <w:color w:val="000000"/>
        </w:rPr>
        <w:t xml:space="preserve"> who are unable to meet immediate, essential expenses because of temporary har</w:t>
      </w:r>
      <w:r w:rsidR="004910C4" w:rsidRPr="00E73C3A">
        <w:rPr>
          <w:rFonts w:asciiTheme="majorHAnsi" w:eastAsia="Calibri" w:hAnsiTheme="majorHAnsi" w:cstheme="majorHAnsi"/>
          <w:color w:val="000000"/>
        </w:rPr>
        <w:t xml:space="preserve">dship related to an unexpected </w:t>
      </w:r>
      <w:r w:rsidRPr="00E73C3A">
        <w:rPr>
          <w:rFonts w:asciiTheme="majorHAnsi" w:eastAsia="Calibri" w:hAnsiTheme="majorHAnsi" w:cstheme="majorHAnsi"/>
          <w:color w:val="000000"/>
        </w:rPr>
        <w:t>situation. The fund is</w:t>
      </w:r>
      <w:r w:rsidRPr="00E73C3A">
        <w:rPr>
          <w:rFonts w:asciiTheme="majorHAnsi" w:eastAsia="Calibri" w:hAnsiTheme="majorHAnsi" w:cstheme="majorHAnsi"/>
          <w:color w:val="000000"/>
        </w:rPr>
        <w:t xml:space="preserve"> designated to off-set a short-term financial need and is not intended to replace or supplement financial aid. Funds are awarded as a grant, and unlike a loan, do not need to be repaid</w:t>
      </w:r>
      <w:r w:rsidR="004910C4" w:rsidRPr="00E73C3A">
        <w:rPr>
          <w:rFonts w:asciiTheme="majorHAnsi" w:eastAsia="Calibri" w:hAnsiTheme="majorHAnsi" w:cstheme="majorHAnsi"/>
          <w:color w:val="000000"/>
        </w:rPr>
        <w:t>. Funds may count as income and</w:t>
      </w:r>
      <w:r w:rsidRPr="00E73C3A">
        <w:rPr>
          <w:rFonts w:asciiTheme="majorHAnsi" w:eastAsia="Calibri" w:hAnsiTheme="majorHAnsi" w:cstheme="majorHAnsi"/>
          <w:color w:val="000000"/>
        </w:rPr>
        <w:t xml:space="preserve"> may be subject to federal and/or state </w:t>
      </w:r>
      <w:r w:rsidRPr="00E73C3A">
        <w:rPr>
          <w:rFonts w:asciiTheme="majorHAnsi" w:eastAsia="Calibri" w:hAnsiTheme="majorHAnsi" w:cstheme="majorHAnsi"/>
          <w:color w:val="000000"/>
        </w:rPr>
        <w:t>taxes</w:t>
      </w:r>
      <w:r w:rsidRPr="00E73C3A">
        <w:rPr>
          <w:rFonts w:asciiTheme="majorHAnsi" w:eastAsia="Calibri" w:hAnsiTheme="majorHAnsi" w:cstheme="majorHAnsi"/>
          <w:i/>
          <w:color w:val="000000"/>
        </w:rPr>
        <w:t>.</w:t>
      </w:r>
    </w:p>
    <w:p w:rsidR="00217788" w:rsidRPr="00E73C3A" w:rsidRDefault="004910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right="157" w:hanging="2"/>
        <w:rPr>
          <w:rFonts w:asciiTheme="majorHAnsi" w:eastAsia="Calibri" w:hAnsiTheme="majorHAnsi" w:cstheme="majorHAnsi"/>
          <w:i/>
          <w:color w:val="000000"/>
        </w:rPr>
      </w:pPr>
      <w:r w:rsidRPr="00E73C3A">
        <w:rPr>
          <w:rFonts w:asciiTheme="majorHAnsi" w:hAnsiTheme="majorHAnsi" w:cstheme="majorHAnsi"/>
          <w:color w:val="000000"/>
          <w:shd w:val="clear" w:color="auto" w:fill="FFFFFF"/>
        </w:rPr>
        <w:t xml:space="preserve">Please note: Student Emergency Funds are reserved for unexpected circumstances which impact a student's experience at Xavier. Requests </w:t>
      </w:r>
      <w:r w:rsidRPr="00E73C3A">
        <w:rPr>
          <w:rFonts w:asciiTheme="majorHAnsi" w:hAnsiTheme="majorHAnsi" w:cstheme="majorHAnsi"/>
          <w:color w:val="000000"/>
          <w:shd w:val="clear" w:color="auto" w:fill="FFFFFF"/>
        </w:rPr>
        <w:t>received</w:t>
      </w:r>
      <w:r w:rsidRPr="00E73C3A">
        <w:rPr>
          <w:rFonts w:asciiTheme="majorHAnsi" w:hAnsiTheme="majorHAnsi" w:cstheme="majorHAnsi"/>
          <w:color w:val="000000"/>
          <w:shd w:val="clear" w:color="auto" w:fill="FFFFFF"/>
        </w:rPr>
        <w:t xml:space="preserve"> for certain expenses outside the scope of the Student Eme</w:t>
      </w:r>
      <w:r w:rsidRPr="00E73C3A">
        <w:rPr>
          <w:rFonts w:asciiTheme="majorHAnsi" w:hAnsiTheme="majorHAnsi" w:cstheme="majorHAnsi"/>
          <w:color w:val="000000"/>
          <w:shd w:val="clear" w:color="auto" w:fill="FFFFFF"/>
        </w:rPr>
        <w:t xml:space="preserve">rgency Fund will not be covered (see below list). </w:t>
      </w:r>
      <w:r w:rsidRPr="00E73C3A">
        <w:rPr>
          <w:rStyle w:val="Strong"/>
          <w:rFonts w:asciiTheme="majorHAnsi" w:hAnsiTheme="majorHAnsi" w:cstheme="majorHAnsi"/>
          <w:color w:val="000000"/>
          <w:shd w:val="clear" w:color="auto" w:fill="FFFFFF"/>
        </w:rPr>
        <w:t>Supporting documentation must be included for your application to be considered complete. </w:t>
      </w:r>
      <w:r w:rsidR="00E73C3A" w:rsidRPr="00E73C3A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Theme="majorHAnsi" w:eastAsia="Calibri" w:hAnsiTheme="majorHAnsi" w:cstheme="majorHAnsi"/>
          <w:b/>
          <w:color w:val="000000"/>
        </w:rPr>
      </w:pPr>
      <w:r w:rsidRPr="00E73C3A">
        <w:rPr>
          <w:rFonts w:asciiTheme="majorHAnsi" w:eastAsia="Calibri" w:hAnsiTheme="majorHAnsi" w:cstheme="majorHAnsi"/>
          <w:b/>
          <w:color w:val="000000"/>
        </w:rPr>
        <w:t xml:space="preserve">TYPES OF EXPENSES THAT MAY BE COVERED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Calibri" w:hAnsiTheme="majorHAnsi" w:cstheme="majorHAnsi"/>
          <w:color w:val="000000"/>
        </w:rPr>
        <w:t xml:space="preserve">The following includes typical expenses that may be covered. This list is not exhaustive: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Assistance with rent or utilities due to an emergency situation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Books or essential course materials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Costs related to a family death or illness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Emergency or temporary housing assistance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Emergency transportation needs such as a bus pass or car repair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Medications or costs related to emergency medical care (not covered by insurance)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Replacement of essential personal belongings due to fire, flood, theft, or natural disaster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Safety related needs (i.e. changing a lock)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rPr>
          <w:rFonts w:asciiTheme="majorHAnsi" w:eastAsia="Calibri" w:hAnsiTheme="majorHAnsi" w:cstheme="majorHAnsi"/>
          <w:b/>
          <w:color w:val="000000"/>
        </w:rPr>
      </w:pPr>
      <w:r w:rsidRPr="00E73C3A">
        <w:rPr>
          <w:rFonts w:asciiTheme="majorHAnsi" w:eastAsia="Calibri" w:hAnsiTheme="majorHAnsi" w:cstheme="majorHAnsi"/>
          <w:b/>
          <w:color w:val="000000"/>
        </w:rPr>
        <w:t xml:space="preserve">TYPES OF EXPENSES THAT ARE NOT COVERED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Calibri" w:hAnsiTheme="majorHAnsi" w:cstheme="majorHAnsi"/>
          <w:color w:val="000000"/>
        </w:rPr>
        <w:t xml:space="preserve">The following includes examples of items that will </w:t>
      </w:r>
      <w:r w:rsidRPr="00E73C3A">
        <w:rPr>
          <w:rFonts w:asciiTheme="majorHAnsi" w:eastAsia="Calibri" w:hAnsiTheme="majorHAnsi" w:cstheme="majorHAnsi"/>
          <w:color w:val="000000"/>
          <w:u w:val="single"/>
        </w:rPr>
        <w:t xml:space="preserve">not </w:t>
      </w:r>
      <w:r w:rsidRPr="00E73C3A">
        <w:rPr>
          <w:rFonts w:asciiTheme="majorHAnsi" w:eastAsia="Calibri" w:hAnsiTheme="majorHAnsi" w:cstheme="majorHAnsi"/>
          <w:color w:val="000000"/>
        </w:rPr>
        <w:t xml:space="preserve">be covered. This list is not exhaustive.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Costs for entertainment, recreation, or non-emergency travel 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Lost IDs or meal cards 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Non-essential utilities, household or furniture costs not related to damage or theft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Normal and anticipated academic expenses (tuition, fees, health insurance, rent)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Penalties, fines, tickets, legal fees, or jail bonds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Replacement of non-essential personal items due to fire, flood, theft or natural disaster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2"/>
        <w:rPr>
          <w:rFonts w:asciiTheme="majorHAnsi" w:eastAsia="Calibri" w:hAnsiTheme="majorHAnsi" w:cstheme="majorHAnsi"/>
          <w:b/>
          <w:color w:val="000000"/>
        </w:rPr>
      </w:pPr>
      <w:r w:rsidRPr="00E73C3A">
        <w:rPr>
          <w:rFonts w:asciiTheme="majorHAnsi" w:eastAsia="Calibri" w:hAnsiTheme="majorHAnsi" w:cstheme="majorHAnsi"/>
          <w:b/>
          <w:color w:val="000000"/>
        </w:rPr>
        <w:t>ELIGIBILITY GUIDELINES (a</w:t>
      </w:r>
      <w:r w:rsidRPr="00E73C3A">
        <w:rPr>
          <w:rFonts w:asciiTheme="majorHAnsi" w:eastAsia="Calibri" w:hAnsiTheme="majorHAnsi" w:cstheme="majorHAnsi"/>
          <w:b/>
          <w:color w:val="000000"/>
        </w:rPr>
        <w:t xml:space="preserve">ll of the following must apply)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Applicant must be a currently enrolled Xavier University student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55" w:lineRule="auto"/>
        <w:ind w:left="369" w:right="1035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Applicant must have financial hardship resulting from an emergency, accident, or other critical incident </w:t>
      </w: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Applicant must be able to provide sufficient documentation of financial hardship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proofErr w:type="gramStart"/>
      <w:r w:rsidRPr="00E73C3A">
        <w:rPr>
          <w:rFonts w:asciiTheme="majorHAnsi" w:eastAsia="Calibri" w:hAnsiTheme="majorHAnsi" w:cstheme="majorHAnsi"/>
          <w:color w:val="000000"/>
        </w:rPr>
        <w:t>Other</w:t>
      </w:r>
      <w:proofErr w:type="gramEnd"/>
      <w:r w:rsidRPr="00E73C3A">
        <w:rPr>
          <w:rFonts w:asciiTheme="majorHAnsi" w:eastAsia="Calibri" w:hAnsiTheme="majorHAnsi" w:cstheme="majorHAnsi"/>
          <w:color w:val="000000"/>
        </w:rPr>
        <w:t xml:space="preserve"> possible resources have been considered and are either unavailable or insufficient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69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Noto Sans Symbols" w:hAnsiTheme="majorHAnsi" w:cstheme="majorHAnsi"/>
          <w:color w:val="000000"/>
        </w:rPr>
        <w:t>∙</w:t>
      </w:r>
      <w:r w:rsidRPr="00E73C3A">
        <w:rPr>
          <w:rFonts w:asciiTheme="majorHAnsi" w:eastAsia="Noto Sans Symbols" w:hAnsiTheme="majorHAnsi" w:cstheme="majorHAnsi"/>
          <w:color w:val="000000"/>
        </w:rPr>
        <w:t xml:space="preserve"> </w:t>
      </w:r>
      <w:r w:rsidRPr="00E73C3A">
        <w:rPr>
          <w:rFonts w:asciiTheme="majorHAnsi" w:eastAsia="Calibri" w:hAnsiTheme="majorHAnsi" w:cstheme="majorHAnsi"/>
          <w:color w:val="000000"/>
        </w:rPr>
        <w:t xml:space="preserve">Priority will be given to students who have not previously applied for Student Emergency Fund resources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rPr>
          <w:rFonts w:asciiTheme="majorHAnsi" w:eastAsia="Calibri" w:hAnsiTheme="majorHAnsi" w:cstheme="majorHAnsi"/>
          <w:b/>
          <w:color w:val="000000"/>
        </w:rPr>
      </w:pPr>
      <w:r w:rsidRPr="00E73C3A">
        <w:rPr>
          <w:rFonts w:asciiTheme="majorHAnsi" w:eastAsia="Calibri" w:hAnsiTheme="majorHAnsi" w:cstheme="majorHAnsi"/>
          <w:b/>
          <w:color w:val="000000"/>
        </w:rPr>
        <w:t xml:space="preserve">APPLICATION PROCEDURE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13" w:hanging="7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Calibri" w:hAnsiTheme="majorHAnsi" w:cstheme="majorHAnsi"/>
          <w:color w:val="000000"/>
        </w:rPr>
        <w:t>Students must submit the online application and related documentation to the Division of St</w:t>
      </w:r>
      <w:r>
        <w:rPr>
          <w:rFonts w:asciiTheme="majorHAnsi" w:eastAsia="Calibri" w:hAnsiTheme="majorHAnsi" w:cstheme="majorHAnsi"/>
          <w:color w:val="000000"/>
        </w:rPr>
        <w:t>udent Affairs. A committee will</w:t>
      </w:r>
      <w:r w:rsidRPr="00E73C3A">
        <w:rPr>
          <w:rFonts w:asciiTheme="majorHAnsi" w:eastAsia="Calibri" w:hAnsiTheme="majorHAnsi" w:cstheme="majorHAnsi"/>
          <w:color w:val="000000"/>
        </w:rPr>
        <w:t xml:space="preserve"> review the application and determine the funding amount. If approved, students will be notified </w:t>
      </w:r>
      <w:r>
        <w:rPr>
          <w:rFonts w:asciiTheme="majorHAnsi" w:eastAsia="Calibri" w:hAnsiTheme="majorHAnsi" w:cstheme="majorHAnsi"/>
          <w:color w:val="000000"/>
        </w:rPr>
        <w:lastRenderedPageBreak/>
        <w:t>of the amount and the</w:t>
      </w:r>
      <w:bookmarkStart w:id="0" w:name="_GoBack"/>
      <w:bookmarkEnd w:id="0"/>
      <w:r w:rsidRPr="00E73C3A">
        <w:rPr>
          <w:rFonts w:asciiTheme="majorHAnsi" w:eastAsia="Calibri" w:hAnsiTheme="majorHAnsi" w:cstheme="majorHAnsi"/>
          <w:color w:val="000000"/>
        </w:rPr>
        <w:t xml:space="preserve"> money will be</w:t>
      </w:r>
      <w:r w:rsidRPr="00E73C3A">
        <w:rPr>
          <w:rFonts w:asciiTheme="majorHAnsi" w:eastAsia="Calibri" w:hAnsiTheme="majorHAnsi" w:cstheme="majorHAnsi"/>
          <w:color w:val="000000"/>
        </w:rPr>
        <w:t xml:space="preserve"> dist</w:t>
      </w:r>
      <w:r w:rsidR="004910C4" w:rsidRPr="00E73C3A">
        <w:rPr>
          <w:rFonts w:asciiTheme="majorHAnsi" w:eastAsia="Calibri" w:hAnsiTheme="majorHAnsi" w:cstheme="majorHAnsi"/>
          <w:color w:val="000000"/>
        </w:rPr>
        <w:t>ributed. Award amounts may not exceed $1,000</w:t>
      </w:r>
      <w:r w:rsidRPr="00E73C3A">
        <w:rPr>
          <w:rFonts w:asciiTheme="majorHAnsi" w:eastAsia="Calibri" w:hAnsiTheme="majorHAnsi" w:cstheme="majorHAnsi"/>
          <w:color w:val="000000"/>
        </w:rPr>
        <w:t xml:space="preserve">. 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6"/>
        <w:rPr>
          <w:rFonts w:asciiTheme="majorHAnsi" w:eastAsia="Calibri" w:hAnsiTheme="majorHAnsi" w:cstheme="majorHAnsi"/>
          <w:b/>
          <w:color w:val="000000"/>
        </w:rPr>
      </w:pPr>
      <w:r w:rsidRPr="00E73C3A">
        <w:rPr>
          <w:rFonts w:asciiTheme="majorHAnsi" w:eastAsia="Calibri" w:hAnsiTheme="majorHAnsi" w:cstheme="majorHAnsi"/>
          <w:b/>
          <w:color w:val="000000"/>
        </w:rPr>
        <w:t xml:space="preserve">CRISES/EMERGENCIES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5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Calibri" w:hAnsiTheme="majorHAnsi" w:cstheme="majorHAnsi"/>
          <w:color w:val="000000"/>
        </w:rPr>
        <w:t xml:space="preserve">If you are dealing with a crisis that needs immediate response, contact Xavier Police (513) 745-1000.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5"/>
        <w:rPr>
          <w:rFonts w:asciiTheme="majorHAnsi" w:eastAsia="Calibri" w:hAnsiTheme="majorHAnsi" w:cstheme="majorHAnsi"/>
          <w:b/>
          <w:color w:val="000000"/>
        </w:rPr>
      </w:pPr>
      <w:r w:rsidRPr="00E73C3A">
        <w:rPr>
          <w:rFonts w:asciiTheme="majorHAnsi" w:eastAsia="Calibri" w:hAnsiTheme="majorHAnsi" w:cstheme="majorHAnsi"/>
          <w:b/>
          <w:color w:val="000000"/>
        </w:rPr>
        <w:t xml:space="preserve">GIVING TO THE FUND </w:t>
      </w:r>
    </w:p>
    <w:p w:rsidR="00217788" w:rsidRPr="00E73C3A" w:rsidRDefault="00E73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7" w:right="136" w:hanging="7"/>
        <w:rPr>
          <w:rFonts w:asciiTheme="majorHAnsi" w:eastAsia="Calibri" w:hAnsiTheme="majorHAnsi" w:cstheme="majorHAnsi"/>
          <w:color w:val="000000"/>
        </w:rPr>
      </w:pPr>
      <w:r w:rsidRPr="00E73C3A">
        <w:rPr>
          <w:rFonts w:asciiTheme="majorHAnsi" w:eastAsia="Calibri" w:hAnsiTheme="majorHAnsi" w:cstheme="majorHAnsi"/>
          <w:color w:val="000000"/>
        </w:rPr>
        <w:t>The number of students who can be served by the fund is subject to available resources.</w:t>
      </w:r>
      <w:r w:rsidR="004910C4" w:rsidRPr="00E73C3A">
        <w:rPr>
          <w:rFonts w:asciiTheme="majorHAnsi" w:eastAsia="Calibri" w:hAnsiTheme="majorHAnsi" w:cstheme="majorHAnsi"/>
          <w:color w:val="000000"/>
        </w:rPr>
        <w:t xml:space="preserve"> The fund must be sustained by </w:t>
      </w:r>
      <w:r w:rsidRPr="00E73C3A">
        <w:rPr>
          <w:rFonts w:asciiTheme="majorHAnsi" w:eastAsia="Calibri" w:hAnsiTheme="majorHAnsi" w:cstheme="majorHAnsi"/>
          <w:color w:val="000000"/>
        </w:rPr>
        <w:t>contributions from alumni, parents, faculty, staff and friends of the University. To donate to</w:t>
      </w:r>
      <w:r w:rsidR="004910C4" w:rsidRPr="00E73C3A">
        <w:rPr>
          <w:rFonts w:asciiTheme="majorHAnsi" w:eastAsia="Calibri" w:hAnsiTheme="majorHAnsi" w:cstheme="majorHAnsi"/>
          <w:color w:val="000000"/>
        </w:rPr>
        <w:t xml:space="preserve"> the fund, contact the Division</w:t>
      </w:r>
      <w:r w:rsidRPr="00E73C3A">
        <w:rPr>
          <w:rFonts w:asciiTheme="majorHAnsi" w:eastAsia="Calibri" w:hAnsiTheme="majorHAnsi" w:cstheme="majorHAnsi"/>
          <w:color w:val="000000"/>
        </w:rPr>
        <w:t xml:space="preserve"> of Student</w:t>
      </w:r>
      <w:r w:rsidRPr="00E73C3A">
        <w:rPr>
          <w:rFonts w:asciiTheme="majorHAnsi" w:eastAsia="Calibri" w:hAnsiTheme="majorHAnsi" w:cstheme="majorHAnsi"/>
          <w:color w:val="000000"/>
        </w:rPr>
        <w:t xml:space="preserve"> Affairs at (513) 745-3202. </w:t>
      </w:r>
    </w:p>
    <w:p w:rsidR="004910C4" w:rsidRPr="00E73C3A" w:rsidRDefault="004910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7" w:right="136" w:hanging="7"/>
        <w:rPr>
          <w:rFonts w:asciiTheme="majorHAnsi" w:eastAsia="Calibri" w:hAnsiTheme="majorHAnsi" w:cstheme="majorHAnsi"/>
          <w:color w:val="000000"/>
        </w:rPr>
      </w:pPr>
    </w:p>
    <w:p w:rsidR="004910C4" w:rsidRPr="00E73C3A" w:rsidRDefault="004910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7" w:right="136" w:hanging="7"/>
        <w:rPr>
          <w:rFonts w:asciiTheme="majorHAnsi" w:eastAsia="Calibri" w:hAnsiTheme="majorHAnsi" w:cstheme="majorHAnsi"/>
          <w:b/>
          <w:color w:val="000000"/>
        </w:rPr>
      </w:pPr>
      <w:r w:rsidRPr="00E73C3A">
        <w:rPr>
          <w:rFonts w:asciiTheme="majorHAnsi" w:eastAsia="Calibri" w:hAnsiTheme="majorHAnsi" w:cstheme="majorHAnsi"/>
          <w:b/>
          <w:color w:val="000000"/>
        </w:rPr>
        <w:t>TIMELINE</w:t>
      </w:r>
    </w:p>
    <w:p w:rsidR="004910C4" w:rsidRPr="00E73C3A" w:rsidRDefault="004910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7" w:right="136" w:hanging="7"/>
        <w:rPr>
          <w:rFonts w:asciiTheme="majorHAnsi" w:hAnsiTheme="majorHAnsi" w:cstheme="majorHAnsi"/>
          <w:color w:val="000000"/>
          <w:shd w:val="clear" w:color="auto" w:fill="FFFFFF"/>
        </w:rPr>
      </w:pPr>
      <w:r w:rsidRPr="00E73C3A">
        <w:rPr>
          <w:rFonts w:asciiTheme="majorHAnsi" w:hAnsiTheme="majorHAnsi" w:cstheme="majorHAnsi"/>
          <w:color w:val="000000"/>
          <w:shd w:val="clear" w:color="auto" w:fill="FFFFFF"/>
        </w:rPr>
        <w:t>Funding may take 7-10 business days after review. If you need more immediate assistance, please contact the Dean of Students office at 513-745-3166.</w:t>
      </w:r>
    </w:p>
    <w:p w:rsidR="004910C4" w:rsidRPr="00E73C3A" w:rsidRDefault="004910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7" w:right="136" w:hanging="7"/>
        <w:rPr>
          <w:rFonts w:asciiTheme="majorHAnsi" w:eastAsia="Calibri" w:hAnsiTheme="majorHAnsi" w:cstheme="majorHAnsi"/>
          <w:color w:val="000000"/>
        </w:rPr>
      </w:pPr>
    </w:p>
    <w:p w:rsidR="004910C4" w:rsidRPr="00E73C3A" w:rsidRDefault="00E73C3A" w:rsidP="004910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</w:rPr>
      </w:pPr>
      <w:r w:rsidRPr="00E73C3A">
        <w:rPr>
          <w:rFonts w:asciiTheme="majorHAnsi" w:eastAsia="Calibri" w:hAnsiTheme="majorHAnsi" w:cstheme="majorHAnsi"/>
          <w:b/>
          <w:color w:val="000000"/>
        </w:rPr>
        <w:t xml:space="preserve">QUESTIONS </w:t>
      </w:r>
    </w:p>
    <w:p w:rsidR="00217788" w:rsidRPr="00E73C3A" w:rsidRDefault="00E73C3A" w:rsidP="004910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</w:rPr>
      </w:pPr>
      <w:r w:rsidRPr="00E73C3A">
        <w:rPr>
          <w:rFonts w:asciiTheme="majorHAnsi" w:eastAsia="Calibri" w:hAnsiTheme="majorHAnsi" w:cstheme="majorHAnsi"/>
          <w:color w:val="000000"/>
        </w:rPr>
        <w:t xml:space="preserve">For additional information about the fund, contact the </w:t>
      </w:r>
      <w:r w:rsidR="004910C4" w:rsidRPr="00E73C3A">
        <w:rPr>
          <w:rFonts w:asciiTheme="majorHAnsi" w:eastAsia="Calibri" w:hAnsiTheme="majorHAnsi" w:cstheme="majorHAnsi"/>
          <w:color w:val="000000"/>
        </w:rPr>
        <w:t>Dean of Students office at 513-745-3166.</w:t>
      </w:r>
    </w:p>
    <w:sectPr w:rsidR="00217788" w:rsidRPr="00E73C3A">
      <w:pgSz w:w="12240" w:h="15840"/>
      <w:pgMar w:top="530" w:right="1040" w:bottom="1567" w:left="108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88"/>
    <w:rsid w:val="00217788"/>
    <w:rsid w:val="004910C4"/>
    <w:rsid w:val="00E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1580"/>
  <w15:docId w15:val="{3379114E-875C-4770-9D2D-BD81D385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491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3060</Characters>
  <Application>Microsoft Office Word</Application>
  <DocSecurity>0</DocSecurity>
  <Lines>25</Lines>
  <Paragraphs>7</Paragraphs>
  <ScaleCrop>false</ScaleCrop>
  <Company>Xavier University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Henkes, Ashley</dc:creator>
  <cp:lastModifiedBy>Henkes, Ashley</cp:lastModifiedBy>
  <cp:revision>3</cp:revision>
  <dcterms:created xsi:type="dcterms:W3CDTF">2022-08-04T15:43:00Z</dcterms:created>
  <dcterms:modified xsi:type="dcterms:W3CDTF">2022-08-04T15:44:00Z</dcterms:modified>
</cp:coreProperties>
</file>