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A0628" w14:textId="6291AA32" w:rsidR="00167A0C" w:rsidRPr="00167A0C" w:rsidRDefault="00167A0C" w:rsidP="00167A0C">
      <w:pPr>
        <w:pStyle w:val="Heading1"/>
      </w:pPr>
      <w:r w:rsidRPr="00167A0C">
        <w:t>Introduction</w:t>
      </w:r>
    </w:p>
    <w:p w14:paraId="536A25A7" w14:textId="77777777" w:rsidR="00167A0C" w:rsidRPr="00167A0C" w:rsidRDefault="00167A0C" w:rsidP="00167A0C">
      <w:pPr>
        <w:pStyle w:val="NormalWeb"/>
        <w:rPr>
          <w:rFonts w:asciiTheme="minorHAnsi" w:hAnsiTheme="minorHAnsi" w:cstheme="minorHAnsi"/>
        </w:rPr>
      </w:pPr>
      <w:r w:rsidRPr="00167A0C">
        <w:rPr>
          <w:rFonts w:asciiTheme="minorHAnsi" w:hAnsiTheme="minorHAnsi" w:cstheme="minorHAnsi"/>
        </w:rPr>
        <w:t>Xavier University is a community of students, teachers, staff, alumni, and local partners. We are a Jesuit Catholic University committed to the cultivation and development of the whole person. As a University, we are a community united by a concern for the truth, for its discovery and revelation, its dissemination, and its preservation. As a Catholic institution, Xavier aims to cultivate graduates who pursue their passions in the world by leading lives that embody love of the good, of God and of their neighbor. As a Jesuit Catholic institution, Xavier brings together the love of God and of the truth in its commitment to humanistic learning guided by the traditional values of the Jesuit order, embodied most directly at the undergraduate level in our Core Curriculum and at the graduate level in our development of highly ethical community serving professionals.</w:t>
      </w:r>
    </w:p>
    <w:p w14:paraId="2A335135" w14:textId="77777777" w:rsidR="00167A0C" w:rsidRPr="00167A0C" w:rsidRDefault="00167A0C" w:rsidP="00167A0C">
      <w:pPr>
        <w:pStyle w:val="NormalWeb"/>
        <w:rPr>
          <w:rFonts w:asciiTheme="minorHAnsi" w:hAnsiTheme="minorHAnsi" w:cstheme="minorHAnsi"/>
        </w:rPr>
      </w:pPr>
      <w:r w:rsidRPr="00167A0C">
        <w:rPr>
          <w:rFonts w:asciiTheme="minorHAnsi" w:hAnsiTheme="minorHAnsi" w:cstheme="minorHAnsi"/>
        </w:rPr>
        <w:t>At the time of its founding in 1831 and for much of its history, Xavier’s students were primarily undergraduates who gathered at our Cincinnati campus. Over time, we significantly expanded our graduate offerings in areas that complement our focus on undergraduate education. And in recent years, we have offered online courses and programs to students across the country. Whether they are enrolled as undergraduates or graduates, in Cincinnati or beyond, we take a special concern for the intellectual, moral, and spiritual development of every one of our students.</w:t>
      </w:r>
    </w:p>
    <w:p w14:paraId="0DBF3A6B" w14:textId="77777777" w:rsidR="00167A0C" w:rsidRPr="00167A0C" w:rsidRDefault="00167A0C" w:rsidP="00167A0C">
      <w:pPr>
        <w:pStyle w:val="NormalWeb"/>
        <w:rPr>
          <w:rFonts w:asciiTheme="minorHAnsi" w:hAnsiTheme="minorHAnsi" w:cstheme="minorHAnsi"/>
        </w:rPr>
      </w:pPr>
      <w:r w:rsidRPr="00167A0C">
        <w:rPr>
          <w:rFonts w:asciiTheme="minorHAnsi" w:hAnsiTheme="minorHAnsi" w:cstheme="minorHAnsi"/>
        </w:rPr>
        <w:t>The previous ten years have been eventful ones for our University. Following our most recent visit from the Higher Learning Commission, we invested significant energy in revisiting our University mission statement. Campus stakeholders collaborated in authoring a new mission statement in 2011-2012, and the refreshed group revisited their work in 2016-2017, affirming and renewing the commitments of the first version. This work in clarifying our mission has borne fruit in a number of areas. In addition to the benefits of shared reflection on our mission and values for renewing our collective sense of the distinctive character of our institution, the mission statement has played an important prioritizing role in decision-making at the highest levels about the investment of academic, personal, and financial resources.</w:t>
      </w:r>
    </w:p>
    <w:p w14:paraId="7C30DE61" w14:textId="77777777" w:rsidR="00167A0C" w:rsidRPr="00167A0C" w:rsidRDefault="00167A0C" w:rsidP="00167A0C">
      <w:pPr>
        <w:pStyle w:val="NormalWeb"/>
        <w:rPr>
          <w:rFonts w:asciiTheme="minorHAnsi" w:hAnsiTheme="minorHAnsi" w:cstheme="minorHAnsi"/>
        </w:rPr>
      </w:pPr>
      <w:r w:rsidRPr="00167A0C">
        <w:rPr>
          <w:rFonts w:asciiTheme="minorHAnsi" w:hAnsiTheme="minorHAnsi" w:cstheme="minorHAnsi"/>
        </w:rPr>
        <w:t xml:space="preserve">Beginning in 2012, we undertook a significant revision to our undergraduate Core Curriculum. This revision was the product of a genuinely collaborative process, undertaken under the leadership of faculty from all of the University’s extant colleges, and drawing on the feedback and insights of faculty, students, and staff across the University. Our new Core Curriculum’s goals and student learning objectives are structured around a set of six traditional Jesuit values. While the new Core requires fewer credit hours to complete, it possesses a sharpened focus. In addition to receiving a broad education in the liberal arts, students also work to develop a set of specific skills, and focus on areas and issues of moral significance. As part of the Core, all first-year students complete a sequence of courses designed to introduce them to academic inquiry and life at the University, to core Jesuit values, and to the question of their life’s vocation. And we have developed devoted pathways through the Core for transfer students, </w:t>
      </w:r>
      <w:r w:rsidRPr="00167A0C">
        <w:rPr>
          <w:rFonts w:asciiTheme="minorHAnsi" w:hAnsiTheme="minorHAnsi" w:cstheme="minorHAnsi"/>
        </w:rPr>
        <w:lastRenderedPageBreak/>
        <w:t>ensuring that they are immersed in the questions and values at the heart of humanistic education, while providing them a path to graduate in good time.</w:t>
      </w:r>
    </w:p>
    <w:p w14:paraId="79D02253" w14:textId="77777777" w:rsidR="00167A0C" w:rsidRPr="00167A0C" w:rsidRDefault="00167A0C" w:rsidP="00167A0C">
      <w:pPr>
        <w:pStyle w:val="NormalWeb"/>
        <w:rPr>
          <w:rFonts w:asciiTheme="minorHAnsi" w:hAnsiTheme="minorHAnsi" w:cstheme="minorHAnsi"/>
        </w:rPr>
      </w:pPr>
      <w:r w:rsidRPr="00167A0C">
        <w:rPr>
          <w:rFonts w:asciiTheme="minorHAnsi" w:hAnsiTheme="minorHAnsi" w:cstheme="minorHAnsi"/>
        </w:rPr>
        <w:t>We have also made the assessment of curricular and co-curricular effectiveness a priority in the design, revision, and implementation of degrees and programs. This priority is evident in the work of our Core Curriculum Assessment Committee, whose members have worked hard to design effective exercises that assess student performance on each of the new Core’s student learning objectives. The results of their assessment work are reported to the Core Curriculum Committee, which exercises oversight over the Core as a whole, and the continued fruitful collaboration of those groups will ensure that the Core retains its high standards, and that it adjusts in light of the results of assessment activities. While assessment activities have been central to the revision and implementation of the Core Curriculum, stakeholders across each of the University’s four colleges and in co-curricular units have invested significant energy and attention to the implementation of rigorous assessment procedures. Area Assessment Committees coordinated by the Director of Assessment through the Administrative Assessment Group ensure the effectiveness and efficacy of assessment activities, working, in particular, to translate the results of those activities in program improvements and appropriate resource distributions.</w:t>
      </w:r>
    </w:p>
    <w:p w14:paraId="40C1CA5B" w14:textId="77777777" w:rsidR="00167A0C" w:rsidRPr="00167A0C" w:rsidRDefault="00167A0C" w:rsidP="00167A0C">
      <w:pPr>
        <w:pStyle w:val="NormalWeb"/>
        <w:rPr>
          <w:rFonts w:asciiTheme="minorHAnsi" w:hAnsiTheme="minorHAnsi" w:cstheme="minorHAnsi"/>
        </w:rPr>
      </w:pPr>
      <w:r w:rsidRPr="00167A0C">
        <w:rPr>
          <w:rFonts w:asciiTheme="minorHAnsi" w:hAnsiTheme="minorHAnsi" w:cstheme="minorHAnsi"/>
        </w:rPr>
        <w:t>The University has also taken great care during this past decade to establish the structures necessary to ensure the flourishing of our post-graduate and off-campus programs. At the graduate level, we introduced a new administrative position, the Dean of the Graduate School, who oversees graduate programs across the University’s four colleges. Our graduate programs are subject to continuous assessment and review. The University has also developed a new Accelerated Bachelor of Science in Nursing degree, with online coursework, and on-site labs and clinical placements across Ohio. We have supported our efforts to grow our offerings beyond the range of our undergraduate programs with the administrative structures that will enable those programs to embody the central mission of the institution, the intellectual, moral, and spiritual development of all of our students.</w:t>
      </w:r>
    </w:p>
    <w:p w14:paraId="657CD6CE" w14:textId="77777777" w:rsidR="00167A0C" w:rsidRPr="00167A0C" w:rsidRDefault="00167A0C" w:rsidP="00167A0C">
      <w:pPr>
        <w:pStyle w:val="NormalWeb"/>
        <w:rPr>
          <w:rFonts w:asciiTheme="minorHAnsi" w:hAnsiTheme="minorHAnsi" w:cstheme="minorHAnsi"/>
        </w:rPr>
      </w:pPr>
      <w:r w:rsidRPr="00167A0C">
        <w:rPr>
          <w:rFonts w:asciiTheme="minorHAnsi" w:hAnsiTheme="minorHAnsi" w:cstheme="minorHAnsi"/>
        </w:rPr>
        <w:t>We have taken great strides in transforming significant governance structures across the University so that they are more inclusive. We have made changes to some of the most important formal governance structures in the University, in particular to include the voices of staff, for example in the establishment of the Staff Advisory Committee, but also in revisions to the membership of the University Planning and Resource Council. The Faculty Committee has recently worked collaboratively with the Provost and Chief Academic Officer, and with the faculty whom they represent, to update the Faculty Handbook. The University has also worked to promote open communication across the entire institution, from the University-wide “Today at Xavier” mailing to the development of new communication strategies in the individual colleges. The Assurance Argument itself provides an excellent example of the sort of cooperation for which we aim in all of our endeavors. It is the product of the work of over eighty faculty, administrators, and staff working across every division of the institution, and has been reviewed by students and the Board of Trustees.</w:t>
      </w:r>
    </w:p>
    <w:p w14:paraId="01497D33" w14:textId="77777777" w:rsidR="00167A0C" w:rsidRPr="00167A0C" w:rsidRDefault="00167A0C" w:rsidP="00167A0C">
      <w:pPr>
        <w:pStyle w:val="NormalWeb"/>
        <w:rPr>
          <w:rFonts w:asciiTheme="minorHAnsi" w:hAnsiTheme="minorHAnsi" w:cstheme="minorHAnsi"/>
        </w:rPr>
      </w:pPr>
      <w:r w:rsidRPr="00167A0C">
        <w:rPr>
          <w:rFonts w:asciiTheme="minorHAnsi" w:hAnsiTheme="minorHAnsi" w:cstheme="minorHAnsi"/>
        </w:rPr>
        <w:lastRenderedPageBreak/>
        <w:t>In the past decade, Xavier has increasingly focused attention and allocated substantial resources to ensure that “We prepare students for a world that is increasingly diverse…” as called by our Mission. Guided by our Diversity an Inclusion Strategic Plan, we have strengthened structures, curricular requirements, student life experiences, and faculty/staff professional development opportunities to advance diversity, equity, and inclusion goals. These undertakings support a vibrant justice-centered learning environment that prepares students to become informed active agents in a multicultural society. Most recently, and due to the national protests and racial unrest of the Summer of 2020, Xavier has targeted strategies and efforts towards racial justice and anti-racism. This renewed focus fully aligns with and furthers our Jesuit Catholic commitment to promoting social justice.</w:t>
      </w:r>
    </w:p>
    <w:p w14:paraId="7B54B144" w14:textId="77777777" w:rsidR="00167A0C" w:rsidRPr="00167A0C" w:rsidRDefault="00167A0C" w:rsidP="00167A0C">
      <w:pPr>
        <w:pStyle w:val="NormalWeb"/>
        <w:rPr>
          <w:rFonts w:asciiTheme="minorHAnsi" w:hAnsiTheme="minorHAnsi" w:cstheme="minorHAnsi"/>
        </w:rPr>
      </w:pPr>
      <w:r w:rsidRPr="00167A0C">
        <w:rPr>
          <w:rFonts w:asciiTheme="minorHAnsi" w:hAnsiTheme="minorHAnsi" w:cstheme="minorHAnsi"/>
        </w:rPr>
        <w:t>Like all institutions of higher education, Xavier has striven to respond to the disruptions caused by the COVID-19 pandemic, beginning with a shift to remote learning during the second half of the Spring 2020 semester. To be sure, the pandemic has created a range of challenges for students, faculty, and staff. Loss of revenue has created difficulties for the University’s budget that have been felt across the institution. And the need to make and communicate difficult decisions in a rapidly changing landscape has sometimes strained the spirit of collaboration that otherwise animates our practice of shared discernment. However, throughout the pandemic, we have endeavored nonetheless to live out the values of our mission. Faculty and staff from across the institution scrambled to effect a transition to remote learning for our students that was as seamless as possible, volunteering to place calls to every undergraduate student and make personal contact with every graduate student to ensure that every student had the resources they needed to succeed in the new circumstances. Faculty have worked tirelessly to create an effective and engaging online learning environment. Our concern for every one of our students has been at the heart of our response to the crisis. As we prepared to resume in-person classes in Fall 2020, our COVID-19 Task Force, whose membership is drawn from across the University community, undertook the challenging and important work of ensuring that the return to on-campus instruction promotes the safety and well-being of all the University’s community members, while retaining the high standards of academic quality characteristic of a Xavier education. Their work, which draws on input and insight from stakeholders and individual members across the institution, provides another instance of the collaborative and cooperative approach that we take in responding to shared challenges.</w:t>
      </w:r>
    </w:p>
    <w:p w14:paraId="7B217031" w14:textId="77777777" w:rsidR="00167A0C" w:rsidRPr="00167A0C" w:rsidRDefault="00167A0C" w:rsidP="00167A0C">
      <w:pPr>
        <w:pStyle w:val="NormalWeb"/>
        <w:rPr>
          <w:rFonts w:asciiTheme="minorHAnsi" w:hAnsiTheme="minorHAnsi" w:cstheme="minorHAnsi"/>
        </w:rPr>
      </w:pPr>
      <w:r w:rsidRPr="00167A0C">
        <w:rPr>
          <w:rFonts w:asciiTheme="minorHAnsi" w:hAnsiTheme="minorHAnsi" w:cstheme="minorHAnsi"/>
        </w:rPr>
        <w:t>In 2021, Xavier is preparing for a smooth presidential transition. Father Michael Graham, SJ, who has served a successful tenure as President for over twenty years, will retire from the presidency effective June 30, 2021. Xavier is preparing to welcome Dr. Colleen M. Hanycz, PhD, who will serve as the 35th President of Xavier University, starting July 1, 2021. Dr. Hanycz will become the first lay and first female president in Xavier’s 190-year history. </w:t>
      </w:r>
    </w:p>
    <w:p w14:paraId="4CDA0229" w14:textId="77777777" w:rsidR="00167A0C" w:rsidRPr="00167A0C" w:rsidRDefault="00167A0C" w:rsidP="00167A0C">
      <w:pPr>
        <w:pStyle w:val="NormalWeb"/>
        <w:rPr>
          <w:rFonts w:asciiTheme="minorHAnsi" w:hAnsiTheme="minorHAnsi" w:cstheme="minorHAnsi"/>
        </w:rPr>
      </w:pPr>
      <w:r w:rsidRPr="00167A0C">
        <w:rPr>
          <w:rFonts w:asciiTheme="minorHAnsi" w:hAnsiTheme="minorHAnsi" w:cstheme="minorHAnsi"/>
        </w:rPr>
        <w:t xml:space="preserve">As we consider the future of our University in the lead-up to its bicentennial in 2031, we know that we will face the same range of challenges that institutions across the higher education landscape will. Our work in these past ten years, however, positions us to persevere through those challenges, and indeed to flourish. We are confident that our shared commitment to our </w:t>
      </w:r>
      <w:r w:rsidRPr="00167A0C">
        <w:rPr>
          <w:rFonts w:asciiTheme="minorHAnsi" w:hAnsiTheme="minorHAnsi" w:cstheme="minorHAnsi"/>
        </w:rPr>
        <w:lastRenderedPageBreak/>
        <w:t>academic and spiritual mission, embodied in the care that we take for every one of our students, will carry Xavier through these times of immense trial and promise.</w:t>
      </w:r>
    </w:p>
    <w:p w14:paraId="1D42742B" w14:textId="77777777" w:rsidR="00167A0C" w:rsidRPr="00167A0C" w:rsidRDefault="00167A0C">
      <w:pPr>
        <w:rPr>
          <w:rFonts w:cstheme="minorHAnsi"/>
        </w:rPr>
      </w:pPr>
    </w:p>
    <w:sectPr w:rsidR="00167A0C" w:rsidRPr="00167A0C" w:rsidSect="001F4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B4DA3"/>
    <w:multiLevelType w:val="hybridMultilevel"/>
    <w:tmpl w:val="4B0C59D8"/>
    <w:lvl w:ilvl="0" w:tplc="1AFA2AC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mirrorMargins/>
  <w:proofState w:spelling="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0C"/>
    <w:rsid w:val="00167A0C"/>
    <w:rsid w:val="00170115"/>
    <w:rsid w:val="001D2545"/>
    <w:rsid w:val="001F4BB4"/>
    <w:rsid w:val="00774A3B"/>
    <w:rsid w:val="00C06699"/>
    <w:rsid w:val="00C45228"/>
    <w:rsid w:val="00E6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B4F0B6"/>
  <w15:chartTrackingRefBased/>
  <w15:docId w15:val="{3555733B-BAFC-F140-BB44-CFD08F3F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99"/>
    <w:rPr>
      <w:rFonts w:eastAsiaTheme="minorEastAsia" w:cs="Times New Roman"/>
      <w:sz w:val="22"/>
    </w:rPr>
  </w:style>
  <w:style w:type="paragraph" w:styleId="Heading1">
    <w:name w:val="heading 1"/>
    <w:basedOn w:val="Normal"/>
    <w:next w:val="Normal"/>
    <w:link w:val="Heading1Char"/>
    <w:uiPriority w:val="9"/>
    <w:qFormat/>
    <w:rsid w:val="00167A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70115"/>
    <w:pPr>
      <w:numPr>
        <w:numId w:val="2"/>
      </w:numPr>
      <w:contextualSpacing/>
    </w:pPr>
  </w:style>
  <w:style w:type="paragraph" w:customStyle="1" w:styleId="Style1">
    <w:name w:val="Style1"/>
    <w:basedOn w:val="ListParagraph"/>
    <w:autoRedefine/>
    <w:qFormat/>
    <w:rsid w:val="001D2545"/>
  </w:style>
  <w:style w:type="paragraph" w:styleId="NormalWeb">
    <w:name w:val="Normal (Web)"/>
    <w:basedOn w:val="Normal"/>
    <w:uiPriority w:val="99"/>
    <w:semiHidden/>
    <w:unhideWhenUsed/>
    <w:rsid w:val="00167A0C"/>
    <w:pPr>
      <w:spacing w:before="100" w:beforeAutospacing="1" w:after="100" w:afterAutospacing="1"/>
    </w:pPr>
    <w:rPr>
      <w:rFonts w:ascii="Times New Roman" w:eastAsia="Times New Roman" w:hAnsi="Times New Roman"/>
      <w:sz w:val="24"/>
    </w:rPr>
  </w:style>
  <w:style w:type="character" w:customStyle="1" w:styleId="Heading1Char">
    <w:name w:val="Heading 1 Char"/>
    <w:basedOn w:val="DefaultParagraphFont"/>
    <w:link w:val="Heading1"/>
    <w:uiPriority w:val="9"/>
    <w:rsid w:val="00167A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727722">
      <w:bodyDiv w:val="1"/>
      <w:marLeft w:val="0"/>
      <w:marRight w:val="0"/>
      <w:marTop w:val="0"/>
      <w:marBottom w:val="0"/>
      <w:divBdr>
        <w:top w:val="none" w:sz="0" w:space="0" w:color="auto"/>
        <w:left w:val="none" w:sz="0" w:space="0" w:color="auto"/>
        <w:bottom w:val="none" w:sz="0" w:space="0" w:color="auto"/>
        <w:right w:val="none" w:sz="0" w:space="0" w:color="auto"/>
      </w:divBdr>
      <w:divsChild>
        <w:div w:id="197471787">
          <w:marLeft w:val="0"/>
          <w:marRight w:val="0"/>
          <w:marTop w:val="0"/>
          <w:marBottom w:val="0"/>
          <w:divBdr>
            <w:top w:val="none" w:sz="0" w:space="0" w:color="auto"/>
            <w:left w:val="none" w:sz="0" w:space="0" w:color="auto"/>
            <w:bottom w:val="none" w:sz="0" w:space="0" w:color="auto"/>
            <w:right w:val="none" w:sz="0" w:space="0" w:color="auto"/>
          </w:divBdr>
          <w:divsChild>
            <w:div w:id="15440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1518</Words>
  <Characters>9097</Characters>
  <Application>Microsoft Office Word</Application>
  <DocSecurity>0</DocSecurity>
  <Lines>171</Lines>
  <Paragraphs>89</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Chrastil, Rachel</dc:creator>
  <cp:keywords/>
  <dc:description/>
  <cp:lastModifiedBy>Chrastil, Rachel</cp:lastModifiedBy>
  <cp:revision>2</cp:revision>
  <dcterms:created xsi:type="dcterms:W3CDTF">2021-03-15T14:42:00Z</dcterms:created>
  <dcterms:modified xsi:type="dcterms:W3CDTF">2021-03-15T14:42:00Z</dcterms:modified>
</cp:coreProperties>
</file>